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54791576"/>
        <w:docPartObj>
          <w:docPartGallery w:val="Cover Pages"/>
          <w:docPartUnique/>
        </w:docPartObj>
      </w:sdtPr>
      <w:sdtEndPr/>
      <w:sdtContent>
        <w:p w14:paraId="63BA21F8" w14:textId="77777777" w:rsidR="00995153" w:rsidRDefault="00995153">
          <w:r>
            <w:rPr>
              <w:noProof/>
              <w:lang w:eastAsia="cs-CZ"/>
            </w:rPr>
            <w:drawing>
              <wp:anchor distT="0" distB="0" distL="114300" distR="114300" simplePos="0" relativeHeight="251658240" behindDoc="0" locked="0" layoutInCell="1" allowOverlap="1" wp14:anchorId="7C5310F6" wp14:editId="19BEA328">
                <wp:simplePos x="0" y="0"/>
                <wp:positionH relativeFrom="margin">
                  <wp:align>right</wp:align>
                </wp:positionH>
                <wp:positionV relativeFrom="paragraph">
                  <wp:posOffset>-219710</wp:posOffset>
                </wp:positionV>
                <wp:extent cx="1945005" cy="10363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5005" cy="1036320"/>
                        </a:xfrm>
                        <a:prstGeom prst="rect">
                          <a:avLst/>
                        </a:prstGeom>
                        <a:noFill/>
                      </pic:spPr>
                    </pic:pic>
                  </a:graphicData>
                </a:graphic>
                <wp14:sizeRelH relativeFrom="page">
                  <wp14:pctWidth>0</wp14:pctWidth>
                </wp14:sizeRelH>
                <wp14:sizeRelV relativeFrom="page">
                  <wp14:pctHeight>0</wp14:pctHeight>
                </wp14:sizeRelV>
              </wp:anchor>
            </w:drawing>
          </w:r>
        </w:p>
        <w:p w14:paraId="7BBB0F9E" w14:textId="77777777" w:rsidR="000C36FD" w:rsidRDefault="000C36FD" w:rsidP="00EC7B5A">
          <w:pPr>
            <w:spacing w:after="200" w:line="276" w:lineRule="auto"/>
          </w:pPr>
        </w:p>
        <w:p w14:paraId="5253191B" w14:textId="77777777" w:rsidR="000C36FD" w:rsidRDefault="000C36FD" w:rsidP="00EC7B5A">
          <w:pPr>
            <w:spacing w:after="200" w:line="276" w:lineRule="auto"/>
          </w:pPr>
        </w:p>
        <w:p w14:paraId="58F712A0" w14:textId="77777777" w:rsidR="000C36FD" w:rsidRDefault="000C36FD" w:rsidP="00EC7B5A">
          <w:pPr>
            <w:spacing w:after="200" w:line="276" w:lineRule="auto"/>
          </w:pPr>
        </w:p>
        <w:p w14:paraId="5B2F874E" w14:textId="2B384CEF" w:rsidR="0060349A" w:rsidRDefault="0060349A" w:rsidP="00EC7B5A">
          <w:pPr>
            <w:spacing w:after="200" w:line="276" w:lineRule="auto"/>
          </w:pPr>
        </w:p>
        <w:p w14:paraId="29EC253F" w14:textId="635DB31B" w:rsidR="0060349A" w:rsidRDefault="0060349A" w:rsidP="00EC7B5A">
          <w:pPr>
            <w:spacing w:after="200" w:line="276" w:lineRule="auto"/>
          </w:pPr>
        </w:p>
        <w:p w14:paraId="1CAD0F1E" w14:textId="3629B27D" w:rsidR="0060349A" w:rsidRDefault="0060349A" w:rsidP="00EC7B5A">
          <w:pPr>
            <w:spacing w:after="200" w:line="276" w:lineRule="auto"/>
          </w:pPr>
        </w:p>
        <w:p w14:paraId="78B12EE9" w14:textId="4061A81D" w:rsidR="0060349A" w:rsidRDefault="0060349A" w:rsidP="00EC7B5A">
          <w:pPr>
            <w:spacing w:after="200" w:line="276" w:lineRule="auto"/>
          </w:pPr>
        </w:p>
        <w:p w14:paraId="7D7B49F5" w14:textId="7DD12BA5" w:rsidR="0060349A" w:rsidRDefault="0060349A" w:rsidP="00EC7B5A">
          <w:pPr>
            <w:spacing w:after="200" w:line="276" w:lineRule="auto"/>
          </w:pPr>
        </w:p>
        <w:p w14:paraId="5C844BA8" w14:textId="77777777" w:rsidR="0060349A" w:rsidRDefault="0060349A" w:rsidP="00EC7B5A">
          <w:pPr>
            <w:spacing w:after="200" w:line="276" w:lineRule="auto"/>
          </w:pPr>
        </w:p>
        <w:p w14:paraId="7F30B41F" w14:textId="7F92967A" w:rsidR="0060349A" w:rsidRPr="0060349A" w:rsidRDefault="0060349A" w:rsidP="0060349A">
          <w:pPr>
            <w:pStyle w:val="Nzev"/>
            <w:jc w:val="center"/>
            <w:rPr>
              <w:color w:val="0070C0"/>
            </w:rPr>
          </w:pPr>
          <w:bookmarkStart w:id="0" w:name="_Hlk184210441"/>
          <w:r w:rsidRPr="0060349A">
            <w:rPr>
              <w:color w:val="0070C0"/>
            </w:rPr>
            <w:t>Průběžná zpráva o</w:t>
          </w:r>
          <w:r w:rsidR="00CE7C79">
            <w:rPr>
              <w:color w:val="0070C0"/>
            </w:rPr>
            <w:t> </w:t>
          </w:r>
          <w:r w:rsidRPr="0060349A">
            <w:rPr>
              <w:color w:val="0070C0"/>
            </w:rPr>
            <w:t>realizaci programu</w:t>
          </w:r>
        </w:p>
        <w:p w14:paraId="19925A98" w14:textId="32878819" w:rsidR="000C36FD" w:rsidRPr="0060349A" w:rsidRDefault="0060349A" w:rsidP="0060349A">
          <w:pPr>
            <w:pStyle w:val="Nzev"/>
            <w:jc w:val="center"/>
            <w:rPr>
              <w:color w:val="0070C0"/>
            </w:rPr>
          </w:pPr>
          <w:r w:rsidRPr="0060349A">
            <w:rPr>
              <w:color w:val="0070C0"/>
            </w:rPr>
            <w:t>T</w:t>
          </w:r>
          <w:r w:rsidR="00A56D42">
            <w:rPr>
              <w:color w:val="0070C0"/>
            </w:rPr>
            <w:t>REND</w:t>
          </w:r>
          <w:bookmarkEnd w:id="0"/>
        </w:p>
        <w:p w14:paraId="0D5C6065" w14:textId="2BEAAB01" w:rsidR="0060349A" w:rsidRDefault="0060349A" w:rsidP="00EC7B5A">
          <w:pPr>
            <w:spacing w:after="200" w:line="276" w:lineRule="auto"/>
          </w:pPr>
        </w:p>
        <w:p w14:paraId="64AF1490" w14:textId="77777777" w:rsidR="0060349A" w:rsidRDefault="0060349A" w:rsidP="00EC7B5A">
          <w:pPr>
            <w:spacing w:after="200" w:line="276" w:lineRule="auto"/>
          </w:pPr>
        </w:p>
        <w:p w14:paraId="61C693E2" w14:textId="77777777" w:rsidR="000C36FD" w:rsidRDefault="000C36FD" w:rsidP="00EC7B5A">
          <w:pPr>
            <w:spacing w:after="200" w:line="276" w:lineRule="auto"/>
          </w:pPr>
        </w:p>
        <w:p w14:paraId="1A241E6B" w14:textId="77777777" w:rsidR="000C36FD" w:rsidRDefault="000C36FD" w:rsidP="00EC7B5A">
          <w:pPr>
            <w:spacing w:after="200" w:line="276" w:lineRule="auto"/>
          </w:pPr>
        </w:p>
        <w:p w14:paraId="76AFB620" w14:textId="77777777" w:rsidR="000C36FD" w:rsidRDefault="000C36FD" w:rsidP="00EC7B5A">
          <w:pPr>
            <w:spacing w:after="200" w:line="276" w:lineRule="auto"/>
          </w:pPr>
        </w:p>
        <w:p w14:paraId="2FE8CF38" w14:textId="77777777" w:rsidR="000C36FD" w:rsidRDefault="000C36FD" w:rsidP="00EC7B5A">
          <w:pPr>
            <w:spacing w:after="200" w:line="276" w:lineRule="auto"/>
          </w:pPr>
        </w:p>
        <w:p w14:paraId="11627156" w14:textId="77777777" w:rsidR="000C36FD" w:rsidRDefault="000C36FD" w:rsidP="00EC7B5A">
          <w:pPr>
            <w:spacing w:after="200" w:line="276" w:lineRule="auto"/>
          </w:pPr>
        </w:p>
        <w:p w14:paraId="08A2A97E" w14:textId="77777777" w:rsidR="000C36FD" w:rsidRDefault="000C36FD" w:rsidP="00EC7B5A">
          <w:pPr>
            <w:spacing w:after="200" w:line="276" w:lineRule="auto"/>
          </w:pPr>
        </w:p>
        <w:p w14:paraId="634CF18E" w14:textId="77777777" w:rsidR="000C36FD" w:rsidRDefault="000C36FD" w:rsidP="00EC7B5A">
          <w:pPr>
            <w:spacing w:after="200" w:line="276" w:lineRule="auto"/>
          </w:pPr>
        </w:p>
        <w:p w14:paraId="19DBC9ED" w14:textId="77777777" w:rsidR="000C36FD" w:rsidRDefault="000C36FD" w:rsidP="00EC7B5A">
          <w:pPr>
            <w:spacing w:after="200" w:line="276" w:lineRule="auto"/>
          </w:pPr>
        </w:p>
        <w:p w14:paraId="1FDE4DCF" w14:textId="77777777" w:rsidR="000C36FD" w:rsidRDefault="000C36FD" w:rsidP="00EC7B5A">
          <w:pPr>
            <w:spacing w:after="200" w:line="276" w:lineRule="auto"/>
          </w:pPr>
        </w:p>
        <w:p w14:paraId="2E5BC755" w14:textId="77777777" w:rsidR="000C36FD" w:rsidRDefault="000C36FD" w:rsidP="00EC7B5A">
          <w:pPr>
            <w:spacing w:after="200" w:line="276" w:lineRule="auto"/>
          </w:pPr>
        </w:p>
        <w:p w14:paraId="11FAC626" w14:textId="377DA623" w:rsidR="000C36FD" w:rsidRDefault="000C36FD" w:rsidP="000C36FD">
          <w:pPr>
            <w:spacing w:after="0" w:line="276" w:lineRule="auto"/>
            <w:jc w:val="both"/>
            <w:rPr>
              <w:b/>
              <w:sz w:val="28"/>
              <w:szCs w:val="28"/>
            </w:rPr>
          </w:pPr>
        </w:p>
        <w:p w14:paraId="6A5B5BFD" w14:textId="77777777" w:rsidR="0060349A" w:rsidRDefault="0060349A" w:rsidP="000C36FD">
          <w:pPr>
            <w:spacing w:after="0" w:line="276" w:lineRule="auto"/>
            <w:jc w:val="both"/>
            <w:rPr>
              <w:b/>
              <w:sz w:val="28"/>
              <w:szCs w:val="28"/>
            </w:rPr>
          </w:pPr>
        </w:p>
        <w:p w14:paraId="284BE410" w14:textId="4A4C741D" w:rsidR="009C79BC" w:rsidRDefault="0060349A" w:rsidP="000C36FD">
          <w:pPr>
            <w:spacing w:after="0" w:line="276" w:lineRule="auto"/>
            <w:jc w:val="both"/>
            <w:rPr>
              <w:b/>
              <w:sz w:val="28"/>
              <w:szCs w:val="28"/>
            </w:rPr>
          </w:pPr>
          <w:r>
            <w:rPr>
              <w:b/>
              <w:sz w:val="28"/>
              <w:szCs w:val="28"/>
            </w:rPr>
            <w:t>Ministerstvo průmyslu a</w:t>
          </w:r>
          <w:r w:rsidR="00CE7C79">
            <w:rPr>
              <w:b/>
              <w:sz w:val="28"/>
              <w:szCs w:val="28"/>
            </w:rPr>
            <w:t> </w:t>
          </w:r>
          <w:r>
            <w:rPr>
              <w:b/>
              <w:sz w:val="28"/>
              <w:szCs w:val="28"/>
            </w:rPr>
            <w:t>obchodu</w:t>
          </w:r>
        </w:p>
        <w:p w14:paraId="5C90511B" w14:textId="206B9DC7" w:rsidR="000C36FD" w:rsidRDefault="009C79BC" w:rsidP="000C36FD">
          <w:pPr>
            <w:spacing w:after="0" w:line="276" w:lineRule="auto"/>
            <w:jc w:val="both"/>
            <w:rPr>
              <w:b/>
              <w:sz w:val="28"/>
              <w:szCs w:val="28"/>
            </w:rPr>
          </w:pPr>
          <w:r>
            <w:rPr>
              <w:b/>
              <w:sz w:val="28"/>
              <w:szCs w:val="28"/>
            </w:rPr>
            <w:t>ve spolupráci s</w:t>
          </w:r>
          <w:r w:rsidR="00CE7C79">
            <w:rPr>
              <w:b/>
              <w:sz w:val="28"/>
              <w:szCs w:val="28"/>
            </w:rPr>
            <w:t> </w:t>
          </w:r>
          <w:r>
            <w:rPr>
              <w:b/>
              <w:sz w:val="28"/>
              <w:szCs w:val="28"/>
            </w:rPr>
            <w:t>Technologickou agenturou ČR</w:t>
          </w:r>
        </w:p>
        <w:p w14:paraId="1D601994" w14:textId="5F3B5C8F" w:rsidR="000C36FD" w:rsidRPr="000C36FD" w:rsidRDefault="007B5BDE" w:rsidP="0060349A">
          <w:pPr>
            <w:spacing w:after="0" w:line="276" w:lineRule="auto"/>
            <w:jc w:val="both"/>
            <w:rPr>
              <w:sz w:val="28"/>
              <w:szCs w:val="28"/>
            </w:rPr>
          </w:pPr>
          <w:r>
            <w:rPr>
              <w:b/>
              <w:sz w:val="28"/>
              <w:szCs w:val="28"/>
            </w:rPr>
            <w:t>prosinec</w:t>
          </w:r>
          <w:r w:rsidR="009C79BC">
            <w:rPr>
              <w:b/>
              <w:sz w:val="28"/>
              <w:szCs w:val="28"/>
            </w:rPr>
            <w:t xml:space="preserve"> </w:t>
          </w:r>
          <w:r w:rsidR="0060349A">
            <w:rPr>
              <w:b/>
              <w:sz w:val="28"/>
              <w:szCs w:val="28"/>
            </w:rPr>
            <w:t>202</w:t>
          </w:r>
          <w:r w:rsidR="009C79BC">
            <w:rPr>
              <w:b/>
              <w:sz w:val="28"/>
              <w:szCs w:val="28"/>
            </w:rPr>
            <w:t>4</w:t>
          </w:r>
        </w:p>
        <w:p w14:paraId="0AC20621" w14:textId="517CD784" w:rsidR="00995153" w:rsidRDefault="00353407" w:rsidP="00EC7B5A">
          <w:pPr>
            <w:spacing w:after="200" w:line="276" w:lineRule="auto"/>
          </w:pPr>
        </w:p>
      </w:sdtContent>
    </w:sdt>
    <w:sdt>
      <w:sdtPr>
        <w:rPr>
          <w:rFonts w:asciiTheme="minorHAnsi" w:hAnsiTheme="minorHAnsi"/>
          <w:b w:val="0"/>
          <w:sz w:val="22"/>
        </w:rPr>
        <w:id w:val="2112854248"/>
        <w:docPartObj>
          <w:docPartGallery w:val="Table of Contents"/>
          <w:docPartUnique/>
        </w:docPartObj>
      </w:sdtPr>
      <w:sdtEndPr>
        <w:rPr>
          <w:bCs/>
        </w:rPr>
      </w:sdtEndPr>
      <w:sdtContent>
        <w:p w14:paraId="5071DEC7" w14:textId="77777777" w:rsidR="00A87CBF" w:rsidRPr="00A87CBF" w:rsidRDefault="003B124A" w:rsidP="00A87CBF">
          <w:pPr>
            <w:pStyle w:val="Nadpisobsahu"/>
          </w:pPr>
          <w:r>
            <w:t>Obsah</w:t>
          </w:r>
        </w:p>
        <w:p w14:paraId="48EC25CC" w14:textId="757CE1CD" w:rsidR="004B5D60" w:rsidRDefault="003B124A">
          <w:pPr>
            <w:pStyle w:val="Obsah1"/>
            <w:tabs>
              <w:tab w:val="left" w:pos="440"/>
              <w:tab w:val="right" w:leader="dot" w:pos="9628"/>
            </w:tabs>
            <w:rPr>
              <w:rFonts w:eastAsiaTheme="minorEastAsia"/>
              <w:noProof/>
              <w:lang w:eastAsia="cs-CZ"/>
            </w:rPr>
          </w:pPr>
          <w:r>
            <w:rPr>
              <w:b/>
              <w:bCs/>
            </w:rPr>
            <w:fldChar w:fldCharType="begin"/>
          </w:r>
          <w:r>
            <w:rPr>
              <w:b/>
              <w:bCs/>
            </w:rPr>
            <w:instrText xml:space="preserve"> TOC \o "1-3" \h \z \u </w:instrText>
          </w:r>
          <w:r>
            <w:rPr>
              <w:b/>
              <w:bCs/>
            </w:rPr>
            <w:fldChar w:fldCharType="separate"/>
          </w:r>
          <w:hyperlink w:anchor="_Toc185334549" w:history="1">
            <w:r w:rsidR="004B5D60" w:rsidRPr="003A143D">
              <w:rPr>
                <w:rStyle w:val="Hypertextovodkaz"/>
                <w:noProof/>
              </w:rPr>
              <w:t>1</w:t>
            </w:r>
            <w:r w:rsidR="004B5D60">
              <w:rPr>
                <w:rFonts w:eastAsiaTheme="minorEastAsia"/>
                <w:noProof/>
                <w:lang w:eastAsia="cs-CZ"/>
              </w:rPr>
              <w:tab/>
            </w:r>
            <w:r w:rsidR="004B5D60" w:rsidRPr="003A143D">
              <w:rPr>
                <w:rStyle w:val="Hypertextovodkaz"/>
                <w:noProof/>
              </w:rPr>
              <w:t>ÚVOD</w:t>
            </w:r>
            <w:r w:rsidR="004B5D60">
              <w:rPr>
                <w:noProof/>
                <w:webHidden/>
              </w:rPr>
              <w:tab/>
            </w:r>
            <w:r w:rsidR="004B5D60">
              <w:rPr>
                <w:noProof/>
                <w:webHidden/>
              </w:rPr>
              <w:fldChar w:fldCharType="begin"/>
            </w:r>
            <w:r w:rsidR="004B5D60">
              <w:rPr>
                <w:noProof/>
                <w:webHidden/>
              </w:rPr>
              <w:instrText xml:space="preserve"> PAGEREF _Toc185334549 \h </w:instrText>
            </w:r>
            <w:r w:rsidR="004B5D60">
              <w:rPr>
                <w:noProof/>
                <w:webHidden/>
              </w:rPr>
            </w:r>
            <w:r w:rsidR="004B5D60">
              <w:rPr>
                <w:noProof/>
                <w:webHidden/>
              </w:rPr>
              <w:fldChar w:fldCharType="separate"/>
            </w:r>
            <w:r w:rsidR="00353407">
              <w:rPr>
                <w:noProof/>
                <w:webHidden/>
              </w:rPr>
              <w:t>1</w:t>
            </w:r>
            <w:r w:rsidR="004B5D60">
              <w:rPr>
                <w:noProof/>
                <w:webHidden/>
              </w:rPr>
              <w:fldChar w:fldCharType="end"/>
            </w:r>
          </w:hyperlink>
        </w:p>
        <w:p w14:paraId="2672D622" w14:textId="2B7098D4" w:rsidR="004B5D60" w:rsidRDefault="00353407">
          <w:pPr>
            <w:pStyle w:val="Obsah1"/>
            <w:tabs>
              <w:tab w:val="left" w:pos="440"/>
              <w:tab w:val="right" w:leader="dot" w:pos="9628"/>
            </w:tabs>
            <w:rPr>
              <w:rFonts w:eastAsiaTheme="minorEastAsia"/>
              <w:noProof/>
              <w:lang w:eastAsia="cs-CZ"/>
            </w:rPr>
          </w:pPr>
          <w:hyperlink w:anchor="_Toc185334550" w:history="1">
            <w:r w:rsidR="004B5D60" w:rsidRPr="003A143D">
              <w:rPr>
                <w:rStyle w:val="Hypertextovodkaz"/>
                <w:noProof/>
              </w:rPr>
              <w:t>2</w:t>
            </w:r>
            <w:r w:rsidR="004B5D60">
              <w:rPr>
                <w:rFonts w:eastAsiaTheme="minorEastAsia"/>
                <w:noProof/>
                <w:lang w:eastAsia="cs-CZ"/>
              </w:rPr>
              <w:tab/>
            </w:r>
            <w:r w:rsidR="004B5D60" w:rsidRPr="003A143D">
              <w:rPr>
                <w:rStyle w:val="Hypertextovodkaz"/>
                <w:noProof/>
              </w:rPr>
              <w:t>ZÁKLADNÍ ÚDAJE O PROGRAMU</w:t>
            </w:r>
            <w:r w:rsidR="004B5D60">
              <w:rPr>
                <w:noProof/>
                <w:webHidden/>
              </w:rPr>
              <w:tab/>
            </w:r>
            <w:r w:rsidR="004B5D60">
              <w:rPr>
                <w:noProof/>
                <w:webHidden/>
              </w:rPr>
              <w:fldChar w:fldCharType="begin"/>
            </w:r>
            <w:r w:rsidR="004B5D60">
              <w:rPr>
                <w:noProof/>
                <w:webHidden/>
              </w:rPr>
              <w:instrText xml:space="preserve"> PAGEREF _Toc185334550 \h </w:instrText>
            </w:r>
            <w:r w:rsidR="004B5D60">
              <w:rPr>
                <w:noProof/>
                <w:webHidden/>
              </w:rPr>
            </w:r>
            <w:r w:rsidR="004B5D60">
              <w:rPr>
                <w:noProof/>
                <w:webHidden/>
              </w:rPr>
              <w:fldChar w:fldCharType="separate"/>
            </w:r>
            <w:r>
              <w:rPr>
                <w:noProof/>
                <w:webHidden/>
              </w:rPr>
              <w:t>2</w:t>
            </w:r>
            <w:r w:rsidR="004B5D60">
              <w:rPr>
                <w:noProof/>
                <w:webHidden/>
              </w:rPr>
              <w:fldChar w:fldCharType="end"/>
            </w:r>
          </w:hyperlink>
        </w:p>
        <w:p w14:paraId="1E8D93B8" w14:textId="388E39BF" w:rsidR="004B5D60" w:rsidRDefault="00353407">
          <w:pPr>
            <w:pStyle w:val="Obsah1"/>
            <w:tabs>
              <w:tab w:val="left" w:pos="440"/>
              <w:tab w:val="right" w:leader="dot" w:pos="9628"/>
            </w:tabs>
            <w:rPr>
              <w:rFonts w:eastAsiaTheme="minorEastAsia"/>
              <w:noProof/>
              <w:lang w:eastAsia="cs-CZ"/>
            </w:rPr>
          </w:pPr>
          <w:hyperlink w:anchor="_Toc185334551" w:history="1">
            <w:r w:rsidR="004B5D60" w:rsidRPr="003A143D">
              <w:rPr>
                <w:rStyle w:val="Hypertextovodkaz"/>
                <w:noProof/>
              </w:rPr>
              <w:t>3</w:t>
            </w:r>
            <w:r w:rsidR="004B5D60">
              <w:rPr>
                <w:rFonts w:eastAsiaTheme="minorEastAsia"/>
                <w:noProof/>
                <w:lang w:eastAsia="cs-CZ"/>
              </w:rPr>
              <w:tab/>
            </w:r>
            <w:r w:rsidR="004B5D60" w:rsidRPr="003A143D">
              <w:rPr>
                <w:rStyle w:val="Hypertextovodkaz"/>
                <w:noProof/>
              </w:rPr>
              <w:t>VEŘEJNÉ SOUTĚŽE</w:t>
            </w:r>
            <w:r w:rsidR="004B5D60">
              <w:rPr>
                <w:noProof/>
                <w:webHidden/>
              </w:rPr>
              <w:tab/>
            </w:r>
            <w:r w:rsidR="004B5D60">
              <w:rPr>
                <w:noProof/>
                <w:webHidden/>
              </w:rPr>
              <w:fldChar w:fldCharType="begin"/>
            </w:r>
            <w:r w:rsidR="004B5D60">
              <w:rPr>
                <w:noProof/>
                <w:webHidden/>
              </w:rPr>
              <w:instrText xml:space="preserve"> PAGEREF _Toc185334551 \h </w:instrText>
            </w:r>
            <w:r w:rsidR="004B5D60">
              <w:rPr>
                <w:noProof/>
                <w:webHidden/>
              </w:rPr>
            </w:r>
            <w:r w:rsidR="004B5D60">
              <w:rPr>
                <w:noProof/>
                <w:webHidden/>
              </w:rPr>
              <w:fldChar w:fldCharType="separate"/>
            </w:r>
            <w:r>
              <w:rPr>
                <w:noProof/>
                <w:webHidden/>
              </w:rPr>
              <w:t>5</w:t>
            </w:r>
            <w:r w:rsidR="004B5D60">
              <w:rPr>
                <w:noProof/>
                <w:webHidden/>
              </w:rPr>
              <w:fldChar w:fldCharType="end"/>
            </w:r>
          </w:hyperlink>
        </w:p>
        <w:p w14:paraId="3868CA9E" w14:textId="0F779D46" w:rsidR="004B5D60" w:rsidRDefault="00353407">
          <w:pPr>
            <w:pStyle w:val="Obsah1"/>
            <w:tabs>
              <w:tab w:val="left" w:pos="440"/>
              <w:tab w:val="right" w:leader="dot" w:pos="9628"/>
            </w:tabs>
            <w:rPr>
              <w:rFonts w:eastAsiaTheme="minorEastAsia"/>
              <w:noProof/>
              <w:lang w:eastAsia="cs-CZ"/>
            </w:rPr>
          </w:pPr>
          <w:hyperlink w:anchor="_Toc185334552" w:history="1">
            <w:r w:rsidR="004B5D60" w:rsidRPr="003A143D">
              <w:rPr>
                <w:rStyle w:val="Hypertextovodkaz"/>
                <w:noProof/>
              </w:rPr>
              <w:t>4</w:t>
            </w:r>
            <w:r w:rsidR="004B5D60">
              <w:rPr>
                <w:rFonts w:eastAsiaTheme="minorEastAsia"/>
                <w:noProof/>
                <w:lang w:eastAsia="cs-CZ"/>
              </w:rPr>
              <w:tab/>
            </w:r>
            <w:r w:rsidR="004B5D60" w:rsidRPr="003A143D">
              <w:rPr>
                <w:rStyle w:val="Hypertextovodkaz"/>
                <w:noProof/>
              </w:rPr>
              <w:t>PRŮBĚH IMPLEMENTACE PROGRAMU</w:t>
            </w:r>
            <w:r w:rsidR="004B5D60">
              <w:rPr>
                <w:noProof/>
                <w:webHidden/>
              </w:rPr>
              <w:tab/>
            </w:r>
            <w:r w:rsidR="004B5D60">
              <w:rPr>
                <w:noProof/>
                <w:webHidden/>
              </w:rPr>
              <w:fldChar w:fldCharType="begin"/>
            </w:r>
            <w:r w:rsidR="004B5D60">
              <w:rPr>
                <w:noProof/>
                <w:webHidden/>
              </w:rPr>
              <w:instrText xml:space="preserve"> PAGEREF _Toc185334552 \h </w:instrText>
            </w:r>
            <w:r w:rsidR="004B5D60">
              <w:rPr>
                <w:noProof/>
                <w:webHidden/>
              </w:rPr>
            </w:r>
            <w:r w:rsidR="004B5D60">
              <w:rPr>
                <w:noProof/>
                <w:webHidden/>
              </w:rPr>
              <w:fldChar w:fldCharType="separate"/>
            </w:r>
            <w:r>
              <w:rPr>
                <w:noProof/>
                <w:webHidden/>
              </w:rPr>
              <w:t>7</w:t>
            </w:r>
            <w:r w:rsidR="004B5D60">
              <w:rPr>
                <w:noProof/>
                <w:webHidden/>
              </w:rPr>
              <w:fldChar w:fldCharType="end"/>
            </w:r>
          </w:hyperlink>
        </w:p>
        <w:p w14:paraId="2731E1E5" w14:textId="791C7BA2" w:rsidR="004B5D60" w:rsidRDefault="00353407">
          <w:pPr>
            <w:pStyle w:val="Obsah2"/>
            <w:tabs>
              <w:tab w:val="left" w:pos="880"/>
              <w:tab w:val="right" w:leader="dot" w:pos="9628"/>
            </w:tabs>
            <w:rPr>
              <w:rFonts w:eastAsiaTheme="minorEastAsia"/>
              <w:noProof/>
              <w:lang w:eastAsia="cs-CZ"/>
            </w:rPr>
          </w:pPr>
          <w:hyperlink w:anchor="_Toc185334553" w:history="1">
            <w:r w:rsidR="004B5D60" w:rsidRPr="003A143D">
              <w:rPr>
                <w:rStyle w:val="Hypertextovodkaz"/>
                <w:noProof/>
              </w:rPr>
              <w:t>4.1</w:t>
            </w:r>
            <w:r w:rsidR="004B5D60">
              <w:rPr>
                <w:rFonts w:eastAsiaTheme="minorEastAsia"/>
                <w:noProof/>
                <w:lang w:eastAsia="cs-CZ"/>
              </w:rPr>
              <w:tab/>
            </w:r>
            <w:r w:rsidR="004B5D60" w:rsidRPr="003A143D">
              <w:rPr>
                <w:rStyle w:val="Hypertextovodkaz"/>
                <w:noProof/>
              </w:rPr>
              <w:t>Nastavení spolupráce MPO a TAČR</w:t>
            </w:r>
            <w:r w:rsidR="004B5D60">
              <w:rPr>
                <w:noProof/>
                <w:webHidden/>
              </w:rPr>
              <w:tab/>
            </w:r>
            <w:r w:rsidR="004B5D60">
              <w:rPr>
                <w:noProof/>
                <w:webHidden/>
              </w:rPr>
              <w:fldChar w:fldCharType="begin"/>
            </w:r>
            <w:r w:rsidR="004B5D60">
              <w:rPr>
                <w:noProof/>
                <w:webHidden/>
              </w:rPr>
              <w:instrText xml:space="preserve"> PAGEREF _Toc185334553 \h </w:instrText>
            </w:r>
            <w:r w:rsidR="004B5D60">
              <w:rPr>
                <w:noProof/>
                <w:webHidden/>
              </w:rPr>
            </w:r>
            <w:r w:rsidR="004B5D60">
              <w:rPr>
                <w:noProof/>
                <w:webHidden/>
              </w:rPr>
              <w:fldChar w:fldCharType="separate"/>
            </w:r>
            <w:r>
              <w:rPr>
                <w:noProof/>
                <w:webHidden/>
              </w:rPr>
              <w:t>7</w:t>
            </w:r>
            <w:r w:rsidR="004B5D60">
              <w:rPr>
                <w:noProof/>
                <w:webHidden/>
              </w:rPr>
              <w:fldChar w:fldCharType="end"/>
            </w:r>
          </w:hyperlink>
        </w:p>
        <w:p w14:paraId="3FB3E782" w14:textId="626F12EB" w:rsidR="004B5D60" w:rsidRDefault="00353407">
          <w:pPr>
            <w:pStyle w:val="Obsah2"/>
            <w:tabs>
              <w:tab w:val="left" w:pos="880"/>
              <w:tab w:val="right" w:leader="dot" w:pos="9628"/>
            </w:tabs>
            <w:rPr>
              <w:rFonts w:eastAsiaTheme="minorEastAsia"/>
              <w:noProof/>
              <w:lang w:eastAsia="cs-CZ"/>
            </w:rPr>
          </w:pPr>
          <w:hyperlink w:anchor="_Toc185334554" w:history="1">
            <w:r w:rsidR="004B5D60" w:rsidRPr="003A143D">
              <w:rPr>
                <w:rStyle w:val="Hypertextovodkaz"/>
                <w:noProof/>
              </w:rPr>
              <w:t>4.2</w:t>
            </w:r>
            <w:r w:rsidR="004B5D60">
              <w:rPr>
                <w:rFonts w:eastAsiaTheme="minorEastAsia"/>
                <w:noProof/>
                <w:lang w:eastAsia="cs-CZ"/>
              </w:rPr>
              <w:tab/>
            </w:r>
            <w:r w:rsidR="004B5D60" w:rsidRPr="003A143D">
              <w:rPr>
                <w:rStyle w:val="Hypertextovodkaz"/>
                <w:noProof/>
              </w:rPr>
              <w:t>Postup přípravy veřejných soutěží</w:t>
            </w:r>
            <w:r w:rsidR="004B5D60">
              <w:rPr>
                <w:noProof/>
                <w:webHidden/>
              </w:rPr>
              <w:tab/>
            </w:r>
            <w:r w:rsidR="004B5D60">
              <w:rPr>
                <w:noProof/>
                <w:webHidden/>
              </w:rPr>
              <w:fldChar w:fldCharType="begin"/>
            </w:r>
            <w:r w:rsidR="004B5D60">
              <w:rPr>
                <w:noProof/>
                <w:webHidden/>
              </w:rPr>
              <w:instrText xml:space="preserve"> PAGEREF _Toc185334554 \h </w:instrText>
            </w:r>
            <w:r w:rsidR="004B5D60">
              <w:rPr>
                <w:noProof/>
                <w:webHidden/>
              </w:rPr>
            </w:r>
            <w:r w:rsidR="004B5D60">
              <w:rPr>
                <w:noProof/>
                <w:webHidden/>
              </w:rPr>
              <w:fldChar w:fldCharType="separate"/>
            </w:r>
            <w:r>
              <w:rPr>
                <w:noProof/>
                <w:webHidden/>
              </w:rPr>
              <w:t>8</w:t>
            </w:r>
            <w:r w:rsidR="004B5D60">
              <w:rPr>
                <w:noProof/>
                <w:webHidden/>
              </w:rPr>
              <w:fldChar w:fldCharType="end"/>
            </w:r>
          </w:hyperlink>
        </w:p>
        <w:p w14:paraId="73C52D7B" w14:textId="58B7F3F3" w:rsidR="004B5D60" w:rsidRDefault="00353407">
          <w:pPr>
            <w:pStyle w:val="Obsah2"/>
            <w:tabs>
              <w:tab w:val="left" w:pos="880"/>
              <w:tab w:val="right" w:leader="dot" w:pos="9628"/>
            </w:tabs>
            <w:rPr>
              <w:rFonts w:eastAsiaTheme="minorEastAsia"/>
              <w:noProof/>
              <w:lang w:eastAsia="cs-CZ"/>
            </w:rPr>
          </w:pPr>
          <w:hyperlink w:anchor="_Toc185334555" w:history="1">
            <w:r w:rsidR="004B5D60" w:rsidRPr="003A143D">
              <w:rPr>
                <w:rStyle w:val="Hypertextovodkaz"/>
                <w:noProof/>
              </w:rPr>
              <w:t>4.3</w:t>
            </w:r>
            <w:r w:rsidR="004B5D60">
              <w:rPr>
                <w:rFonts w:eastAsiaTheme="minorEastAsia"/>
                <w:noProof/>
                <w:lang w:eastAsia="cs-CZ"/>
              </w:rPr>
              <w:tab/>
            </w:r>
            <w:r w:rsidR="004B5D60" w:rsidRPr="003A143D">
              <w:rPr>
                <w:rStyle w:val="Hypertextovodkaz"/>
                <w:noProof/>
              </w:rPr>
              <w:t>Hodnoticí proces</w:t>
            </w:r>
            <w:r w:rsidR="004B5D60">
              <w:rPr>
                <w:noProof/>
                <w:webHidden/>
              </w:rPr>
              <w:tab/>
            </w:r>
            <w:r w:rsidR="004B5D60">
              <w:rPr>
                <w:noProof/>
                <w:webHidden/>
              </w:rPr>
              <w:fldChar w:fldCharType="begin"/>
            </w:r>
            <w:r w:rsidR="004B5D60">
              <w:rPr>
                <w:noProof/>
                <w:webHidden/>
              </w:rPr>
              <w:instrText xml:space="preserve"> PAGEREF _Toc185334555 \h </w:instrText>
            </w:r>
            <w:r w:rsidR="004B5D60">
              <w:rPr>
                <w:noProof/>
                <w:webHidden/>
              </w:rPr>
            </w:r>
            <w:r w:rsidR="004B5D60">
              <w:rPr>
                <w:noProof/>
                <w:webHidden/>
              </w:rPr>
              <w:fldChar w:fldCharType="separate"/>
            </w:r>
            <w:r>
              <w:rPr>
                <w:noProof/>
                <w:webHidden/>
              </w:rPr>
              <w:t>8</w:t>
            </w:r>
            <w:r w:rsidR="004B5D60">
              <w:rPr>
                <w:noProof/>
                <w:webHidden/>
              </w:rPr>
              <w:fldChar w:fldCharType="end"/>
            </w:r>
          </w:hyperlink>
        </w:p>
        <w:p w14:paraId="6E6EBDEB" w14:textId="0EC17CA3" w:rsidR="004B5D60" w:rsidRDefault="00353407">
          <w:pPr>
            <w:pStyle w:val="Obsah2"/>
            <w:tabs>
              <w:tab w:val="left" w:pos="880"/>
              <w:tab w:val="right" w:leader="dot" w:pos="9628"/>
            </w:tabs>
            <w:rPr>
              <w:rFonts w:eastAsiaTheme="minorEastAsia"/>
              <w:noProof/>
              <w:lang w:eastAsia="cs-CZ"/>
            </w:rPr>
          </w:pPr>
          <w:hyperlink w:anchor="_Toc185334556" w:history="1">
            <w:r w:rsidR="004B5D60" w:rsidRPr="003A143D">
              <w:rPr>
                <w:rStyle w:val="Hypertextovodkaz"/>
                <w:noProof/>
              </w:rPr>
              <w:t>4.4</w:t>
            </w:r>
            <w:r w:rsidR="004B5D60">
              <w:rPr>
                <w:rFonts w:eastAsiaTheme="minorEastAsia"/>
                <w:noProof/>
                <w:lang w:eastAsia="cs-CZ"/>
              </w:rPr>
              <w:tab/>
            </w:r>
            <w:r w:rsidR="004B5D60" w:rsidRPr="003A143D">
              <w:rPr>
                <w:rStyle w:val="Hypertextovodkaz"/>
                <w:noProof/>
              </w:rPr>
              <w:t>Administrace podpořených projektů</w:t>
            </w:r>
            <w:r w:rsidR="004B5D60">
              <w:rPr>
                <w:noProof/>
                <w:webHidden/>
              </w:rPr>
              <w:tab/>
            </w:r>
            <w:r w:rsidR="004B5D60">
              <w:rPr>
                <w:noProof/>
                <w:webHidden/>
              </w:rPr>
              <w:fldChar w:fldCharType="begin"/>
            </w:r>
            <w:r w:rsidR="004B5D60">
              <w:rPr>
                <w:noProof/>
                <w:webHidden/>
              </w:rPr>
              <w:instrText xml:space="preserve"> PAGEREF _Toc185334556 \h </w:instrText>
            </w:r>
            <w:r w:rsidR="004B5D60">
              <w:rPr>
                <w:noProof/>
                <w:webHidden/>
              </w:rPr>
            </w:r>
            <w:r w:rsidR="004B5D60">
              <w:rPr>
                <w:noProof/>
                <w:webHidden/>
              </w:rPr>
              <w:fldChar w:fldCharType="separate"/>
            </w:r>
            <w:r>
              <w:rPr>
                <w:noProof/>
                <w:webHidden/>
              </w:rPr>
              <w:t>15</w:t>
            </w:r>
            <w:r w:rsidR="004B5D60">
              <w:rPr>
                <w:noProof/>
                <w:webHidden/>
              </w:rPr>
              <w:fldChar w:fldCharType="end"/>
            </w:r>
          </w:hyperlink>
        </w:p>
        <w:p w14:paraId="2978D27D" w14:textId="6BEBBEB4" w:rsidR="004B5D60" w:rsidRDefault="00353407">
          <w:pPr>
            <w:pStyle w:val="Obsah2"/>
            <w:tabs>
              <w:tab w:val="left" w:pos="880"/>
              <w:tab w:val="right" w:leader="dot" w:pos="9628"/>
            </w:tabs>
            <w:rPr>
              <w:rFonts w:eastAsiaTheme="minorEastAsia"/>
              <w:noProof/>
              <w:lang w:eastAsia="cs-CZ"/>
            </w:rPr>
          </w:pPr>
          <w:hyperlink w:anchor="_Toc185334557" w:history="1">
            <w:r w:rsidR="004B5D60" w:rsidRPr="003A143D">
              <w:rPr>
                <w:rStyle w:val="Hypertextovodkaz"/>
                <w:noProof/>
              </w:rPr>
              <w:t>4.5</w:t>
            </w:r>
            <w:r w:rsidR="004B5D60">
              <w:rPr>
                <w:rFonts w:eastAsiaTheme="minorEastAsia"/>
                <w:noProof/>
                <w:lang w:eastAsia="cs-CZ"/>
              </w:rPr>
              <w:tab/>
            </w:r>
            <w:r w:rsidR="004B5D60" w:rsidRPr="003A143D">
              <w:rPr>
                <w:rStyle w:val="Hypertextovodkaz"/>
                <w:noProof/>
              </w:rPr>
              <w:t>Národní plán obnovy</w:t>
            </w:r>
            <w:r w:rsidR="004B5D60">
              <w:rPr>
                <w:noProof/>
                <w:webHidden/>
              </w:rPr>
              <w:tab/>
            </w:r>
            <w:r w:rsidR="004B5D60">
              <w:rPr>
                <w:noProof/>
                <w:webHidden/>
              </w:rPr>
              <w:fldChar w:fldCharType="begin"/>
            </w:r>
            <w:r w:rsidR="004B5D60">
              <w:rPr>
                <w:noProof/>
                <w:webHidden/>
              </w:rPr>
              <w:instrText xml:space="preserve"> PAGEREF _Toc185334557 \h </w:instrText>
            </w:r>
            <w:r w:rsidR="004B5D60">
              <w:rPr>
                <w:noProof/>
                <w:webHidden/>
              </w:rPr>
            </w:r>
            <w:r w:rsidR="004B5D60">
              <w:rPr>
                <w:noProof/>
                <w:webHidden/>
              </w:rPr>
              <w:fldChar w:fldCharType="separate"/>
            </w:r>
            <w:r>
              <w:rPr>
                <w:noProof/>
                <w:webHidden/>
              </w:rPr>
              <w:t>16</w:t>
            </w:r>
            <w:r w:rsidR="004B5D60">
              <w:rPr>
                <w:noProof/>
                <w:webHidden/>
              </w:rPr>
              <w:fldChar w:fldCharType="end"/>
            </w:r>
          </w:hyperlink>
        </w:p>
        <w:p w14:paraId="1B2FD177" w14:textId="70706260" w:rsidR="004B5D60" w:rsidRDefault="00353407">
          <w:pPr>
            <w:pStyle w:val="Obsah1"/>
            <w:tabs>
              <w:tab w:val="left" w:pos="440"/>
              <w:tab w:val="right" w:leader="dot" w:pos="9628"/>
            </w:tabs>
            <w:rPr>
              <w:rFonts w:eastAsiaTheme="minorEastAsia"/>
              <w:noProof/>
              <w:lang w:eastAsia="cs-CZ"/>
            </w:rPr>
          </w:pPr>
          <w:hyperlink w:anchor="_Toc185334558" w:history="1">
            <w:r w:rsidR="004B5D60" w:rsidRPr="003A143D">
              <w:rPr>
                <w:rStyle w:val="Hypertextovodkaz"/>
                <w:noProof/>
              </w:rPr>
              <w:t>5</w:t>
            </w:r>
            <w:r w:rsidR="004B5D60">
              <w:rPr>
                <w:rFonts w:eastAsiaTheme="minorEastAsia"/>
                <w:noProof/>
                <w:lang w:eastAsia="cs-CZ"/>
              </w:rPr>
              <w:tab/>
            </w:r>
            <w:r w:rsidR="004B5D60" w:rsidRPr="003A143D">
              <w:rPr>
                <w:rStyle w:val="Hypertextovodkaz"/>
                <w:noProof/>
              </w:rPr>
              <w:t>PODPOŘENÉ PROJEKTY</w:t>
            </w:r>
            <w:r w:rsidR="004B5D60">
              <w:rPr>
                <w:noProof/>
                <w:webHidden/>
              </w:rPr>
              <w:tab/>
            </w:r>
            <w:r w:rsidR="004B5D60">
              <w:rPr>
                <w:noProof/>
                <w:webHidden/>
              </w:rPr>
              <w:fldChar w:fldCharType="begin"/>
            </w:r>
            <w:r w:rsidR="004B5D60">
              <w:rPr>
                <w:noProof/>
                <w:webHidden/>
              </w:rPr>
              <w:instrText xml:space="preserve"> PAGEREF _Toc185334558 \h </w:instrText>
            </w:r>
            <w:r w:rsidR="004B5D60">
              <w:rPr>
                <w:noProof/>
                <w:webHidden/>
              </w:rPr>
            </w:r>
            <w:r w:rsidR="004B5D60">
              <w:rPr>
                <w:noProof/>
                <w:webHidden/>
              </w:rPr>
              <w:fldChar w:fldCharType="separate"/>
            </w:r>
            <w:r>
              <w:rPr>
                <w:noProof/>
                <w:webHidden/>
              </w:rPr>
              <w:t>17</w:t>
            </w:r>
            <w:r w:rsidR="004B5D60">
              <w:rPr>
                <w:noProof/>
                <w:webHidden/>
              </w:rPr>
              <w:fldChar w:fldCharType="end"/>
            </w:r>
          </w:hyperlink>
        </w:p>
        <w:p w14:paraId="148383B9" w14:textId="61157390" w:rsidR="004B5D60" w:rsidRDefault="00353407">
          <w:pPr>
            <w:pStyle w:val="Obsah1"/>
            <w:tabs>
              <w:tab w:val="left" w:pos="440"/>
              <w:tab w:val="right" w:leader="dot" w:pos="9628"/>
            </w:tabs>
            <w:rPr>
              <w:rFonts w:eastAsiaTheme="minorEastAsia"/>
              <w:noProof/>
              <w:lang w:eastAsia="cs-CZ"/>
            </w:rPr>
          </w:pPr>
          <w:hyperlink w:anchor="_Toc185334559" w:history="1">
            <w:r w:rsidR="004B5D60" w:rsidRPr="003A143D">
              <w:rPr>
                <w:rStyle w:val="Hypertextovodkaz"/>
                <w:noProof/>
              </w:rPr>
              <w:t>6</w:t>
            </w:r>
            <w:r w:rsidR="004B5D60">
              <w:rPr>
                <w:rFonts w:eastAsiaTheme="minorEastAsia"/>
                <w:noProof/>
                <w:lang w:eastAsia="cs-CZ"/>
              </w:rPr>
              <w:tab/>
            </w:r>
            <w:r w:rsidR="004B5D60" w:rsidRPr="003A143D">
              <w:rPr>
                <w:rStyle w:val="Hypertextovodkaz"/>
                <w:noProof/>
              </w:rPr>
              <w:t>OČEKÁVANÉ VÝSLEDKY PROGRAMU</w:t>
            </w:r>
            <w:r w:rsidR="004B5D60">
              <w:rPr>
                <w:noProof/>
                <w:webHidden/>
              </w:rPr>
              <w:tab/>
            </w:r>
            <w:r w:rsidR="004B5D60">
              <w:rPr>
                <w:noProof/>
                <w:webHidden/>
              </w:rPr>
              <w:fldChar w:fldCharType="begin"/>
            </w:r>
            <w:r w:rsidR="004B5D60">
              <w:rPr>
                <w:noProof/>
                <w:webHidden/>
              </w:rPr>
              <w:instrText xml:space="preserve"> PAGEREF _Toc185334559 \h </w:instrText>
            </w:r>
            <w:r w:rsidR="004B5D60">
              <w:rPr>
                <w:noProof/>
                <w:webHidden/>
              </w:rPr>
            </w:r>
            <w:r w:rsidR="004B5D60">
              <w:rPr>
                <w:noProof/>
                <w:webHidden/>
              </w:rPr>
              <w:fldChar w:fldCharType="separate"/>
            </w:r>
            <w:r>
              <w:rPr>
                <w:noProof/>
                <w:webHidden/>
              </w:rPr>
              <w:t>26</w:t>
            </w:r>
            <w:r w:rsidR="004B5D60">
              <w:rPr>
                <w:noProof/>
                <w:webHidden/>
              </w:rPr>
              <w:fldChar w:fldCharType="end"/>
            </w:r>
          </w:hyperlink>
        </w:p>
        <w:p w14:paraId="1460FA3F" w14:textId="729AE8D3" w:rsidR="004B5D60" w:rsidRDefault="00353407">
          <w:pPr>
            <w:pStyle w:val="Obsah1"/>
            <w:tabs>
              <w:tab w:val="left" w:pos="440"/>
              <w:tab w:val="right" w:leader="dot" w:pos="9628"/>
            </w:tabs>
            <w:rPr>
              <w:rFonts w:eastAsiaTheme="minorEastAsia"/>
              <w:noProof/>
              <w:lang w:eastAsia="cs-CZ"/>
            </w:rPr>
          </w:pPr>
          <w:hyperlink w:anchor="_Toc185334560" w:history="1">
            <w:r w:rsidR="004B5D60" w:rsidRPr="003A143D">
              <w:rPr>
                <w:rStyle w:val="Hypertextovodkaz"/>
                <w:noProof/>
              </w:rPr>
              <w:t>7</w:t>
            </w:r>
            <w:r w:rsidR="004B5D60">
              <w:rPr>
                <w:rFonts w:eastAsiaTheme="minorEastAsia"/>
                <w:noProof/>
                <w:lang w:eastAsia="cs-CZ"/>
              </w:rPr>
              <w:tab/>
            </w:r>
            <w:r w:rsidR="004B5D60" w:rsidRPr="003A143D">
              <w:rPr>
                <w:rStyle w:val="Hypertextovodkaz"/>
                <w:noProof/>
              </w:rPr>
              <w:t>KONTROLA</w:t>
            </w:r>
            <w:r w:rsidR="004B5D60">
              <w:rPr>
                <w:noProof/>
                <w:webHidden/>
              </w:rPr>
              <w:tab/>
            </w:r>
            <w:r w:rsidR="004B5D60">
              <w:rPr>
                <w:noProof/>
                <w:webHidden/>
              </w:rPr>
              <w:fldChar w:fldCharType="begin"/>
            </w:r>
            <w:r w:rsidR="004B5D60">
              <w:rPr>
                <w:noProof/>
                <w:webHidden/>
              </w:rPr>
              <w:instrText xml:space="preserve"> PAGEREF _Toc185334560 \h </w:instrText>
            </w:r>
            <w:r w:rsidR="004B5D60">
              <w:rPr>
                <w:noProof/>
                <w:webHidden/>
              </w:rPr>
            </w:r>
            <w:r w:rsidR="004B5D60">
              <w:rPr>
                <w:noProof/>
                <w:webHidden/>
              </w:rPr>
              <w:fldChar w:fldCharType="separate"/>
            </w:r>
            <w:r>
              <w:rPr>
                <w:noProof/>
                <w:webHidden/>
              </w:rPr>
              <w:t>27</w:t>
            </w:r>
            <w:r w:rsidR="004B5D60">
              <w:rPr>
                <w:noProof/>
                <w:webHidden/>
              </w:rPr>
              <w:fldChar w:fldCharType="end"/>
            </w:r>
          </w:hyperlink>
        </w:p>
        <w:p w14:paraId="676CF28A" w14:textId="093B22B1" w:rsidR="004B5D60" w:rsidRDefault="00353407">
          <w:pPr>
            <w:pStyle w:val="Obsah2"/>
            <w:tabs>
              <w:tab w:val="left" w:pos="880"/>
              <w:tab w:val="right" w:leader="dot" w:pos="9628"/>
            </w:tabs>
            <w:rPr>
              <w:rFonts w:eastAsiaTheme="minorEastAsia"/>
              <w:noProof/>
              <w:lang w:eastAsia="cs-CZ"/>
            </w:rPr>
          </w:pPr>
          <w:hyperlink w:anchor="_Toc185334561" w:history="1">
            <w:r w:rsidR="004B5D60" w:rsidRPr="003A143D">
              <w:rPr>
                <w:rStyle w:val="Hypertextovodkaz"/>
                <w:noProof/>
              </w:rPr>
              <w:t>7.1</w:t>
            </w:r>
            <w:r w:rsidR="004B5D60">
              <w:rPr>
                <w:rFonts w:eastAsiaTheme="minorEastAsia"/>
                <w:noProof/>
                <w:lang w:eastAsia="cs-CZ"/>
              </w:rPr>
              <w:tab/>
            </w:r>
            <w:r w:rsidR="004B5D60" w:rsidRPr="003A143D">
              <w:rPr>
                <w:rStyle w:val="Hypertextovodkaz"/>
                <w:noProof/>
              </w:rPr>
              <w:t>Kontrola podpořených projektů</w:t>
            </w:r>
            <w:r w:rsidR="004B5D60">
              <w:rPr>
                <w:noProof/>
                <w:webHidden/>
              </w:rPr>
              <w:tab/>
            </w:r>
            <w:r w:rsidR="004B5D60">
              <w:rPr>
                <w:noProof/>
                <w:webHidden/>
              </w:rPr>
              <w:fldChar w:fldCharType="begin"/>
            </w:r>
            <w:r w:rsidR="004B5D60">
              <w:rPr>
                <w:noProof/>
                <w:webHidden/>
              </w:rPr>
              <w:instrText xml:space="preserve"> PAGEREF _Toc185334561 \h </w:instrText>
            </w:r>
            <w:r w:rsidR="004B5D60">
              <w:rPr>
                <w:noProof/>
                <w:webHidden/>
              </w:rPr>
            </w:r>
            <w:r w:rsidR="004B5D60">
              <w:rPr>
                <w:noProof/>
                <w:webHidden/>
              </w:rPr>
              <w:fldChar w:fldCharType="separate"/>
            </w:r>
            <w:r>
              <w:rPr>
                <w:noProof/>
                <w:webHidden/>
              </w:rPr>
              <w:t>27</w:t>
            </w:r>
            <w:r w:rsidR="004B5D60">
              <w:rPr>
                <w:noProof/>
                <w:webHidden/>
              </w:rPr>
              <w:fldChar w:fldCharType="end"/>
            </w:r>
          </w:hyperlink>
        </w:p>
        <w:p w14:paraId="59A1860D" w14:textId="13398A82" w:rsidR="004B5D60" w:rsidRDefault="00353407">
          <w:pPr>
            <w:pStyle w:val="Obsah2"/>
            <w:tabs>
              <w:tab w:val="left" w:pos="880"/>
              <w:tab w:val="right" w:leader="dot" w:pos="9628"/>
            </w:tabs>
            <w:rPr>
              <w:rFonts w:eastAsiaTheme="minorEastAsia"/>
              <w:noProof/>
              <w:lang w:eastAsia="cs-CZ"/>
            </w:rPr>
          </w:pPr>
          <w:hyperlink w:anchor="_Toc185334562" w:history="1">
            <w:r w:rsidR="004B5D60" w:rsidRPr="003A143D">
              <w:rPr>
                <w:rStyle w:val="Hypertextovodkaz"/>
                <w:noProof/>
              </w:rPr>
              <w:t>7.2</w:t>
            </w:r>
            <w:r w:rsidR="004B5D60">
              <w:rPr>
                <w:rFonts w:eastAsiaTheme="minorEastAsia"/>
                <w:noProof/>
                <w:lang w:eastAsia="cs-CZ"/>
              </w:rPr>
              <w:tab/>
            </w:r>
            <w:r w:rsidR="004B5D60" w:rsidRPr="003A143D">
              <w:rPr>
                <w:rStyle w:val="Hypertextovodkaz"/>
                <w:noProof/>
              </w:rPr>
              <w:t>Kontrola Programu</w:t>
            </w:r>
            <w:r w:rsidR="004B5D60">
              <w:rPr>
                <w:noProof/>
                <w:webHidden/>
              </w:rPr>
              <w:tab/>
            </w:r>
            <w:r w:rsidR="004B5D60">
              <w:rPr>
                <w:noProof/>
                <w:webHidden/>
              </w:rPr>
              <w:fldChar w:fldCharType="begin"/>
            </w:r>
            <w:r w:rsidR="004B5D60">
              <w:rPr>
                <w:noProof/>
                <w:webHidden/>
              </w:rPr>
              <w:instrText xml:space="preserve"> PAGEREF _Toc185334562 \h </w:instrText>
            </w:r>
            <w:r w:rsidR="004B5D60">
              <w:rPr>
                <w:noProof/>
                <w:webHidden/>
              </w:rPr>
            </w:r>
            <w:r w:rsidR="004B5D60">
              <w:rPr>
                <w:noProof/>
                <w:webHidden/>
              </w:rPr>
              <w:fldChar w:fldCharType="separate"/>
            </w:r>
            <w:r>
              <w:rPr>
                <w:noProof/>
                <w:webHidden/>
              </w:rPr>
              <w:t>27</w:t>
            </w:r>
            <w:r w:rsidR="004B5D60">
              <w:rPr>
                <w:noProof/>
                <w:webHidden/>
              </w:rPr>
              <w:fldChar w:fldCharType="end"/>
            </w:r>
          </w:hyperlink>
        </w:p>
        <w:p w14:paraId="24A08C79" w14:textId="45E13962" w:rsidR="004B5D60" w:rsidRDefault="00353407">
          <w:pPr>
            <w:pStyle w:val="Obsah1"/>
            <w:tabs>
              <w:tab w:val="left" w:pos="440"/>
              <w:tab w:val="right" w:leader="dot" w:pos="9628"/>
            </w:tabs>
            <w:rPr>
              <w:rFonts w:eastAsiaTheme="minorEastAsia"/>
              <w:noProof/>
              <w:lang w:eastAsia="cs-CZ"/>
            </w:rPr>
          </w:pPr>
          <w:hyperlink w:anchor="_Toc185334563" w:history="1">
            <w:r w:rsidR="004B5D60" w:rsidRPr="003A143D">
              <w:rPr>
                <w:rStyle w:val="Hypertextovodkaz"/>
                <w:noProof/>
              </w:rPr>
              <w:t>8</w:t>
            </w:r>
            <w:r w:rsidR="004B5D60">
              <w:rPr>
                <w:rFonts w:eastAsiaTheme="minorEastAsia"/>
                <w:noProof/>
                <w:lang w:eastAsia="cs-CZ"/>
              </w:rPr>
              <w:tab/>
            </w:r>
            <w:r w:rsidR="004B5D60" w:rsidRPr="003A143D">
              <w:rPr>
                <w:rStyle w:val="Hypertextovodkaz"/>
                <w:noProof/>
              </w:rPr>
              <w:t>NAPLŇOVÁNÍ INDIKÁTORŮ PROGRAMU</w:t>
            </w:r>
            <w:r w:rsidR="004B5D60">
              <w:rPr>
                <w:noProof/>
                <w:webHidden/>
              </w:rPr>
              <w:tab/>
            </w:r>
            <w:r w:rsidR="004B5D60">
              <w:rPr>
                <w:noProof/>
                <w:webHidden/>
              </w:rPr>
              <w:fldChar w:fldCharType="begin"/>
            </w:r>
            <w:r w:rsidR="004B5D60">
              <w:rPr>
                <w:noProof/>
                <w:webHidden/>
              </w:rPr>
              <w:instrText xml:space="preserve"> PAGEREF _Toc185334563 \h </w:instrText>
            </w:r>
            <w:r w:rsidR="004B5D60">
              <w:rPr>
                <w:noProof/>
                <w:webHidden/>
              </w:rPr>
            </w:r>
            <w:r w:rsidR="004B5D60">
              <w:rPr>
                <w:noProof/>
                <w:webHidden/>
              </w:rPr>
              <w:fldChar w:fldCharType="separate"/>
            </w:r>
            <w:r>
              <w:rPr>
                <w:noProof/>
                <w:webHidden/>
              </w:rPr>
              <w:t>29</w:t>
            </w:r>
            <w:r w:rsidR="004B5D60">
              <w:rPr>
                <w:noProof/>
                <w:webHidden/>
              </w:rPr>
              <w:fldChar w:fldCharType="end"/>
            </w:r>
          </w:hyperlink>
        </w:p>
        <w:p w14:paraId="3E39B913" w14:textId="340681C1" w:rsidR="004B5D60" w:rsidRDefault="00353407">
          <w:pPr>
            <w:pStyle w:val="Obsah1"/>
            <w:tabs>
              <w:tab w:val="left" w:pos="440"/>
              <w:tab w:val="right" w:leader="dot" w:pos="9628"/>
            </w:tabs>
            <w:rPr>
              <w:rFonts w:eastAsiaTheme="minorEastAsia"/>
              <w:noProof/>
              <w:lang w:eastAsia="cs-CZ"/>
            </w:rPr>
          </w:pPr>
          <w:hyperlink w:anchor="_Toc185334564" w:history="1">
            <w:r w:rsidR="004B5D60" w:rsidRPr="003A143D">
              <w:rPr>
                <w:rStyle w:val="Hypertextovodkaz"/>
                <w:noProof/>
              </w:rPr>
              <w:t>9</w:t>
            </w:r>
            <w:r w:rsidR="004B5D60">
              <w:rPr>
                <w:rFonts w:eastAsiaTheme="minorEastAsia"/>
                <w:noProof/>
                <w:lang w:eastAsia="cs-CZ"/>
              </w:rPr>
              <w:tab/>
            </w:r>
            <w:r w:rsidR="004B5D60" w:rsidRPr="003A143D">
              <w:rPr>
                <w:rStyle w:val="Hypertextovodkaz"/>
                <w:noProof/>
              </w:rPr>
              <w:t>ZÁVĚR</w:t>
            </w:r>
            <w:r w:rsidR="004B5D60">
              <w:rPr>
                <w:noProof/>
                <w:webHidden/>
              </w:rPr>
              <w:tab/>
            </w:r>
            <w:r w:rsidR="004B5D60">
              <w:rPr>
                <w:noProof/>
                <w:webHidden/>
              </w:rPr>
              <w:fldChar w:fldCharType="begin"/>
            </w:r>
            <w:r w:rsidR="004B5D60">
              <w:rPr>
                <w:noProof/>
                <w:webHidden/>
              </w:rPr>
              <w:instrText xml:space="preserve"> PAGEREF _Toc185334564 \h </w:instrText>
            </w:r>
            <w:r w:rsidR="004B5D60">
              <w:rPr>
                <w:noProof/>
                <w:webHidden/>
              </w:rPr>
            </w:r>
            <w:r w:rsidR="004B5D60">
              <w:rPr>
                <w:noProof/>
                <w:webHidden/>
              </w:rPr>
              <w:fldChar w:fldCharType="separate"/>
            </w:r>
            <w:r>
              <w:rPr>
                <w:noProof/>
                <w:webHidden/>
              </w:rPr>
              <w:t>31</w:t>
            </w:r>
            <w:r w:rsidR="004B5D60">
              <w:rPr>
                <w:noProof/>
                <w:webHidden/>
              </w:rPr>
              <w:fldChar w:fldCharType="end"/>
            </w:r>
          </w:hyperlink>
        </w:p>
        <w:p w14:paraId="477DF3CE" w14:textId="0EBE214E" w:rsidR="004B5D60" w:rsidRDefault="00353407">
          <w:pPr>
            <w:pStyle w:val="Obsah1"/>
            <w:tabs>
              <w:tab w:val="left" w:pos="660"/>
              <w:tab w:val="right" w:leader="dot" w:pos="9628"/>
            </w:tabs>
            <w:rPr>
              <w:rFonts w:eastAsiaTheme="minorEastAsia"/>
              <w:noProof/>
              <w:lang w:eastAsia="cs-CZ"/>
            </w:rPr>
          </w:pPr>
          <w:hyperlink w:anchor="_Toc185334565" w:history="1">
            <w:r w:rsidR="004B5D60" w:rsidRPr="003A143D">
              <w:rPr>
                <w:rStyle w:val="Hypertextovodkaz"/>
                <w:noProof/>
              </w:rPr>
              <w:t>10</w:t>
            </w:r>
            <w:r w:rsidR="004B5D60">
              <w:rPr>
                <w:rFonts w:eastAsiaTheme="minorEastAsia"/>
                <w:noProof/>
                <w:lang w:eastAsia="cs-CZ"/>
              </w:rPr>
              <w:tab/>
            </w:r>
            <w:r w:rsidR="004B5D60" w:rsidRPr="003A143D">
              <w:rPr>
                <w:rStyle w:val="Hypertextovodkaz"/>
                <w:noProof/>
              </w:rPr>
              <w:t>SEZNAMY</w:t>
            </w:r>
            <w:r w:rsidR="004B5D60">
              <w:rPr>
                <w:noProof/>
                <w:webHidden/>
              </w:rPr>
              <w:tab/>
            </w:r>
            <w:r w:rsidR="004B5D60">
              <w:rPr>
                <w:noProof/>
                <w:webHidden/>
              </w:rPr>
              <w:fldChar w:fldCharType="begin"/>
            </w:r>
            <w:r w:rsidR="004B5D60">
              <w:rPr>
                <w:noProof/>
                <w:webHidden/>
              </w:rPr>
              <w:instrText xml:space="preserve"> PAGEREF _Toc185334565 \h </w:instrText>
            </w:r>
            <w:r w:rsidR="004B5D60">
              <w:rPr>
                <w:noProof/>
                <w:webHidden/>
              </w:rPr>
            </w:r>
            <w:r w:rsidR="004B5D60">
              <w:rPr>
                <w:noProof/>
                <w:webHidden/>
              </w:rPr>
              <w:fldChar w:fldCharType="separate"/>
            </w:r>
            <w:r>
              <w:rPr>
                <w:noProof/>
                <w:webHidden/>
              </w:rPr>
              <w:t>33</w:t>
            </w:r>
            <w:r w:rsidR="004B5D60">
              <w:rPr>
                <w:noProof/>
                <w:webHidden/>
              </w:rPr>
              <w:fldChar w:fldCharType="end"/>
            </w:r>
          </w:hyperlink>
        </w:p>
        <w:p w14:paraId="45FF00E0" w14:textId="20B57060" w:rsidR="004B5D60" w:rsidRDefault="00353407">
          <w:pPr>
            <w:pStyle w:val="Obsah2"/>
            <w:tabs>
              <w:tab w:val="left" w:pos="880"/>
              <w:tab w:val="right" w:leader="dot" w:pos="9628"/>
            </w:tabs>
            <w:rPr>
              <w:rFonts w:eastAsiaTheme="minorEastAsia"/>
              <w:noProof/>
              <w:lang w:eastAsia="cs-CZ"/>
            </w:rPr>
          </w:pPr>
          <w:hyperlink w:anchor="_Toc185334566" w:history="1">
            <w:r w:rsidR="004B5D60" w:rsidRPr="003A143D">
              <w:rPr>
                <w:rStyle w:val="Hypertextovodkaz"/>
                <w:noProof/>
              </w:rPr>
              <w:t>10.1</w:t>
            </w:r>
            <w:r w:rsidR="004B5D60">
              <w:rPr>
                <w:rFonts w:eastAsiaTheme="minorEastAsia"/>
                <w:noProof/>
                <w:lang w:eastAsia="cs-CZ"/>
              </w:rPr>
              <w:tab/>
            </w:r>
            <w:r w:rsidR="004B5D60" w:rsidRPr="003A143D">
              <w:rPr>
                <w:rStyle w:val="Hypertextovodkaz"/>
                <w:noProof/>
              </w:rPr>
              <w:t>Seznam použitých zkratek a pojmů</w:t>
            </w:r>
            <w:r w:rsidR="004B5D60">
              <w:rPr>
                <w:noProof/>
                <w:webHidden/>
              </w:rPr>
              <w:tab/>
            </w:r>
            <w:r w:rsidR="004B5D60">
              <w:rPr>
                <w:noProof/>
                <w:webHidden/>
              </w:rPr>
              <w:fldChar w:fldCharType="begin"/>
            </w:r>
            <w:r w:rsidR="004B5D60">
              <w:rPr>
                <w:noProof/>
                <w:webHidden/>
              </w:rPr>
              <w:instrText xml:space="preserve"> PAGEREF _Toc185334566 \h </w:instrText>
            </w:r>
            <w:r w:rsidR="004B5D60">
              <w:rPr>
                <w:noProof/>
                <w:webHidden/>
              </w:rPr>
            </w:r>
            <w:r w:rsidR="004B5D60">
              <w:rPr>
                <w:noProof/>
                <w:webHidden/>
              </w:rPr>
              <w:fldChar w:fldCharType="separate"/>
            </w:r>
            <w:r>
              <w:rPr>
                <w:noProof/>
                <w:webHidden/>
              </w:rPr>
              <w:t>33</w:t>
            </w:r>
            <w:r w:rsidR="004B5D60">
              <w:rPr>
                <w:noProof/>
                <w:webHidden/>
              </w:rPr>
              <w:fldChar w:fldCharType="end"/>
            </w:r>
          </w:hyperlink>
        </w:p>
        <w:p w14:paraId="62D15F73" w14:textId="307341A8" w:rsidR="004B5D60" w:rsidRDefault="00353407">
          <w:pPr>
            <w:pStyle w:val="Obsah2"/>
            <w:tabs>
              <w:tab w:val="left" w:pos="880"/>
              <w:tab w:val="right" w:leader="dot" w:pos="9628"/>
            </w:tabs>
            <w:rPr>
              <w:rFonts w:eastAsiaTheme="minorEastAsia"/>
              <w:noProof/>
              <w:lang w:eastAsia="cs-CZ"/>
            </w:rPr>
          </w:pPr>
          <w:hyperlink w:anchor="_Toc185334567" w:history="1">
            <w:r w:rsidR="004B5D60" w:rsidRPr="003A143D">
              <w:rPr>
                <w:rStyle w:val="Hypertextovodkaz"/>
                <w:noProof/>
              </w:rPr>
              <w:t>10.2</w:t>
            </w:r>
            <w:r w:rsidR="004B5D60">
              <w:rPr>
                <w:rFonts w:eastAsiaTheme="minorEastAsia"/>
                <w:noProof/>
                <w:lang w:eastAsia="cs-CZ"/>
              </w:rPr>
              <w:tab/>
            </w:r>
            <w:r w:rsidR="004B5D60" w:rsidRPr="003A143D">
              <w:rPr>
                <w:rStyle w:val="Hypertextovodkaz"/>
                <w:noProof/>
              </w:rPr>
              <w:t>Seznam tabulek</w:t>
            </w:r>
            <w:r w:rsidR="004B5D60">
              <w:rPr>
                <w:noProof/>
                <w:webHidden/>
              </w:rPr>
              <w:tab/>
            </w:r>
            <w:r w:rsidR="004B5D60">
              <w:rPr>
                <w:noProof/>
                <w:webHidden/>
              </w:rPr>
              <w:fldChar w:fldCharType="begin"/>
            </w:r>
            <w:r w:rsidR="004B5D60">
              <w:rPr>
                <w:noProof/>
                <w:webHidden/>
              </w:rPr>
              <w:instrText xml:space="preserve"> PAGEREF _Toc185334567 \h </w:instrText>
            </w:r>
            <w:r w:rsidR="004B5D60">
              <w:rPr>
                <w:noProof/>
                <w:webHidden/>
              </w:rPr>
            </w:r>
            <w:r w:rsidR="004B5D60">
              <w:rPr>
                <w:noProof/>
                <w:webHidden/>
              </w:rPr>
              <w:fldChar w:fldCharType="separate"/>
            </w:r>
            <w:r>
              <w:rPr>
                <w:noProof/>
                <w:webHidden/>
              </w:rPr>
              <w:t>34</w:t>
            </w:r>
            <w:r w:rsidR="004B5D60">
              <w:rPr>
                <w:noProof/>
                <w:webHidden/>
              </w:rPr>
              <w:fldChar w:fldCharType="end"/>
            </w:r>
          </w:hyperlink>
        </w:p>
        <w:p w14:paraId="4CD1B630" w14:textId="1547A2F6" w:rsidR="000C3F16" w:rsidRDefault="003B124A" w:rsidP="009A305A">
          <w:pPr>
            <w:sectPr w:rsidR="000C3F16" w:rsidSect="00995153">
              <w:pgSz w:w="11906" w:h="16838"/>
              <w:pgMar w:top="1134" w:right="1134" w:bottom="1134" w:left="1134" w:header="709" w:footer="709" w:gutter="0"/>
              <w:pgNumType w:start="0"/>
              <w:cols w:space="708"/>
              <w:titlePg/>
              <w:docGrid w:linePitch="360"/>
            </w:sectPr>
          </w:pPr>
          <w:r>
            <w:rPr>
              <w:b/>
              <w:bCs/>
            </w:rPr>
            <w:fldChar w:fldCharType="end"/>
          </w:r>
        </w:p>
      </w:sdtContent>
    </w:sdt>
    <w:p w14:paraId="24473E8F" w14:textId="77777777" w:rsidR="00995153" w:rsidRDefault="00995153">
      <w:pPr>
        <w:spacing w:after="200" w:line="276" w:lineRule="auto"/>
      </w:pPr>
    </w:p>
    <w:p w14:paraId="5C37B5BC" w14:textId="77777777" w:rsidR="00713948" w:rsidRDefault="003B124A" w:rsidP="00F65956">
      <w:pPr>
        <w:pStyle w:val="Nadpis1"/>
      </w:pPr>
      <w:bookmarkStart w:id="1" w:name="_Toc185334549"/>
      <w:r>
        <w:t>ÚVOD</w:t>
      </w:r>
      <w:bookmarkEnd w:id="1"/>
    </w:p>
    <w:p w14:paraId="48B74224" w14:textId="77777777" w:rsidR="007B5BDE" w:rsidRDefault="003B124A" w:rsidP="00847DF7">
      <w:pPr>
        <w:spacing w:after="120"/>
        <w:jc w:val="both"/>
      </w:pPr>
      <w:r w:rsidRPr="006A0ABB">
        <w:t>Program T</w:t>
      </w:r>
      <w:r w:rsidR="00A56D42">
        <w:t>REND</w:t>
      </w:r>
      <w:r w:rsidRPr="00CA52E6">
        <w:t xml:space="preserve"> (dále </w:t>
      </w:r>
      <w:r w:rsidR="00847DF7">
        <w:t xml:space="preserve">také </w:t>
      </w:r>
      <w:r w:rsidRPr="00CA52E6">
        <w:t xml:space="preserve">jen </w:t>
      </w:r>
      <w:r w:rsidR="00847DF7">
        <w:t>„</w:t>
      </w:r>
      <w:r w:rsidRPr="00CA52E6">
        <w:t>Program</w:t>
      </w:r>
      <w:r w:rsidR="00847DF7">
        <w:t>“</w:t>
      </w:r>
      <w:r w:rsidRPr="00CA52E6">
        <w:t xml:space="preserve">) byl schválen usnesením vlády ČR </w:t>
      </w:r>
      <w:r w:rsidR="00847DF7" w:rsidRPr="00847DF7">
        <w:t>č. 202 ze dne 25. března 2019</w:t>
      </w:r>
      <w:r w:rsidR="00847DF7">
        <w:t xml:space="preserve">. </w:t>
      </w:r>
    </w:p>
    <w:p w14:paraId="17AFCDB8" w14:textId="77777777" w:rsidR="002E1B59" w:rsidRDefault="007B5BDE" w:rsidP="00847DF7">
      <w:pPr>
        <w:spacing w:after="120"/>
        <w:jc w:val="both"/>
      </w:pPr>
      <w:r>
        <w:t xml:space="preserve">Tato Průběžná zpráva o realizaci programu TREND (dále také jen „Zpráva“) </w:t>
      </w:r>
      <w:r w:rsidR="00847DF7">
        <w:t>se</w:t>
      </w:r>
      <w:r>
        <w:t xml:space="preserve"> předkládá</w:t>
      </w:r>
    </w:p>
    <w:p w14:paraId="30AD76DB" w14:textId="2A2676E8" w:rsidR="002E1B59" w:rsidRDefault="00847DF7" w:rsidP="002E1B59">
      <w:pPr>
        <w:pStyle w:val="Odstavecseseznamem"/>
        <w:numPr>
          <w:ilvl w:val="0"/>
          <w:numId w:val="47"/>
        </w:numPr>
        <w:spacing w:after="120"/>
        <w:jc w:val="both"/>
      </w:pPr>
      <w:r>
        <w:t>Radě pro výzkum, vývoj a</w:t>
      </w:r>
      <w:r w:rsidR="00CE7C79">
        <w:t> </w:t>
      </w:r>
      <w:r>
        <w:t>inovace</w:t>
      </w:r>
      <w:r w:rsidR="007B5BDE">
        <w:t xml:space="preserve"> ve vazbě na uvedené usnesení vlády</w:t>
      </w:r>
      <w:r w:rsidR="002E1B59">
        <w:t>;</w:t>
      </w:r>
    </w:p>
    <w:p w14:paraId="042E4813" w14:textId="7BE72479" w:rsidR="00847DF7" w:rsidRDefault="007B5BDE" w:rsidP="002E1B59">
      <w:pPr>
        <w:pStyle w:val="Odstavecseseznamem"/>
        <w:numPr>
          <w:ilvl w:val="0"/>
          <w:numId w:val="47"/>
        </w:numPr>
        <w:spacing w:after="120"/>
        <w:jc w:val="both"/>
      </w:pPr>
      <w:r>
        <w:t xml:space="preserve">v kontextu přípravy státního rozpočtu na období 2026+ a s tím související diskusí ohledně potřebného rozsahu podpory výzkumu a vývoje pro potřeby rozvoje konkurenceschopnosti podniků a podoby a rozsahu za tímto účelem </w:t>
      </w:r>
      <w:r w:rsidR="00F72B3A">
        <w:t xml:space="preserve">realizovaných a </w:t>
      </w:r>
      <w:r>
        <w:t>navrhovaných programů podpory</w:t>
      </w:r>
      <w:r w:rsidR="002E1B59">
        <w:t>;</w:t>
      </w:r>
    </w:p>
    <w:p w14:paraId="401304A6" w14:textId="1522E91D" w:rsidR="002E1B59" w:rsidRDefault="002E1B59" w:rsidP="002E1B59">
      <w:pPr>
        <w:pStyle w:val="Odstavecseseznamem"/>
        <w:numPr>
          <w:ilvl w:val="0"/>
          <w:numId w:val="47"/>
        </w:numPr>
        <w:spacing w:after="120"/>
        <w:jc w:val="both"/>
      </w:pPr>
      <w:r>
        <w:t>Jako podklad pro potřebnou změnu Programu, která bude předložena následně.</w:t>
      </w:r>
    </w:p>
    <w:p w14:paraId="1C41892B" w14:textId="584D88F6" w:rsidR="003B124A" w:rsidRDefault="00300DBE" w:rsidP="00DB7113">
      <w:pPr>
        <w:spacing w:after="120"/>
        <w:jc w:val="both"/>
      </w:pPr>
      <w:r>
        <w:t>V kapitolách</w:t>
      </w:r>
      <w:r w:rsidR="003B124A" w:rsidRPr="00CA52E6">
        <w:t xml:space="preserve"> </w:t>
      </w:r>
      <w:r w:rsidR="003B124A">
        <w:t>následující</w:t>
      </w:r>
      <w:r>
        <w:t>ch</w:t>
      </w:r>
      <w:r w:rsidR="003B124A">
        <w:t xml:space="preserve"> za</w:t>
      </w:r>
      <w:r w:rsidR="007B5BDE">
        <w:t xml:space="preserve"> tímto</w:t>
      </w:r>
      <w:r w:rsidR="003B124A">
        <w:t xml:space="preserve"> úvodem</w:t>
      </w:r>
      <w:r w:rsidR="003B124A" w:rsidRPr="00CA52E6">
        <w:t xml:space="preserve"> jsou uvedeny základní údaje o</w:t>
      </w:r>
      <w:r w:rsidR="00CE7C79">
        <w:t> </w:t>
      </w:r>
      <w:r w:rsidR="003B124A" w:rsidRPr="00CA52E6">
        <w:t>Programu</w:t>
      </w:r>
      <w:r>
        <w:t xml:space="preserve"> a</w:t>
      </w:r>
      <w:r w:rsidR="00CE7C79">
        <w:t> </w:t>
      </w:r>
      <w:r>
        <w:t>statistický přehled údajů o</w:t>
      </w:r>
      <w:r w:rsidR="00CE7C79">
        <w:t> </w:t>
      </w:r>
      <w:r>
        <w:t xml:space="preserve">projektech přihlášených do </w:t>
      </w:r>
      <w:r w:rsidR="00762CA1">
        <w:t xml:space="preserve">prvních </w:t>
      </w:r>
      <w:r w:rsidR="007B5BDE">
        <w:t>deseti</w:t>
      </w:r>
      <w:r w:rsidR="009E4D16">
        <w:t xml:space="preserve"> </w:t>
      </w:r>
      <w:r w:rsidR="00762CA1">
        <w:t>veřejných soutěží</w:t>
      </w:r>
      <w:r w:rsidR="007B5BDE">
        <w:t>, které byly dosud vyhodnoceny</w:t>
      </w:r>
      <w:r w:rsidR="003B124A" w:rsidRPr="00CA52E6">
        <w:t xml:space="preserve">. </w:t>
      </w:r>
      <w:r w:rsidR="007B5BDE">
        <w:t>V dalších částech je</w:t>
      </w:r>
      <w:r w:rsidR="003B124A" w:rsidRPr="00CA52E6">
        <w:t xml:space="preserve"> pop</w:t>
      </w:r>
      <w:r w:rsidR="007B5BDE">
        <w:t xml:space="preserve">sán </w:t>
      </w:r>
      <w:r w:rsidR="003B124A" w:rsidRPr="00CA52E6">
        <w:t>dosavadní průběh implementace Programu</w:t>
      </w:r>
      <w:r w:rsidR="00762CA1">
        <w:t>,</w:t>
      </w:r>
      <w:r w:rsidR="003B124A" w:rsidRPr="00CA52E6">
        <w:t xml:space="preserve"> </w:t>
      </w:r>
      <w:r w:rsidR="007B5BDE">
        <w:t xml:space="preserve">včetně podrobných </w:t>
      </w:r>
      <w:r>
        <w:t>údaj</w:t>
      </w:r>
      <w:r w:rsidR="007B5BDE">
        <w:t>ů</w:t>
      </w:r>
      <w:r>
        <w:t xml:space="preserve"> o</w:t>
      </w:r>
      <w:r w:rsidR="00CE7C79">
        <w:t> </w:t>
      </w:r>
      <w:r w:rsidR="003B124A" w:rsidRPr="00CA52E6">
        <w:t>podpořených</w:t>
      </w:r>
      <w:r w:rsidR="00A77A7D">
        <w:t xml:space="preserve"> </w:t>
      </w:r>
      <w:r w:rsidR="009E4D16" w:rsidRPr="00CA52E6">
        <w:t xml:space="preserve">projektech </w:t>
      </w:r>
      <w:r w:rsidR="00A77A7D">
        <w:t>(</w:t>
      </w:r>
      <w:r w:rsidR="003B124A" w:rsidRPr="00762CA1">
        <w:t>použitá data jsou aktuální k</w:t>
      </w:r>
      <w:r w:rsidR="00CE7C79">
        <w:t> </w:t>
      </w:r>
      <w:r w:rsidR="009E4D16">
        <w:t xml:space="preserve">srpnu </w:t>
      </w:r>
      <w:r w:rsidR="009C79BC">
        <w:t>202</w:t>
      </w:r>
      <w:r w:rsidR="009E4D16">
        <w:t>4)</w:t>
      </w:r>
      <w:r w:rsidR="003B124A" w:rsidRPr="00762CA1">
        <w:t xml:space="preserve">. </w:t>
      </w:r>
      <w:r w:rsidR="00762CA1">
        <w:t>Další</w:t>
      </w:r>
      <w:r w:rsidR="003B124A" w:rsidRPr="00CA52E6">
        <w:t xml:space="preserve"> kapitol</w:t>
      </w:r>
      <w:r w:rsidR="009E4D16">
        <w:t>y</w:t>
      </w:r>
      <w:r w:rsidR="003B124A" w:rsidRPr="00CA52E6">
        <w:t xml:space="preserve"> uvádí počty </w:t>
      </w:r>
      <w:r w:rsidR="009E4D16">
        <w:t xml:space="preserve">a strukturu </w:t>
      </w:r>
      <w:r w:rsidR="003B124A" w:rsidRPr="00CA52E6">
        <w:t>očekávaných výsledků podpořených projektů</w:t>
      </w:r>
      <w:r w:rsidR="009E4D16">
        <w:t>, informaci o kontrolách jak podpořených projektů, tak</w:t>
      </w:r>
      <w:r w:rsidR="007B5BDE">
        <w:t> </w:t>
      </w:r>
      <w:r w:rsidR="009E4D16">
        <w:t>o</w:t>
      </w:r>
      <w:r w:rsidR="007B5BDE">
        <w:t> </w:t>
      </w:r>
      <w:r w:rsidR="009E4D16">
        <w:t xml:space="preserve">kontrolách realizace </w:t>
      </w:r>
      <w:r w:rsidR="00F72B3A">
        <w:t>P</w:t>
      </w:r>
      <w:r w:rsidR="009E4D16">
        <w:t xml:space="preserve">rogramu jako takového, </w:t>
      </w:r>
      <w:r w:rsidR="007B5BDE">
        <w:t xml:space="preserve">a </w:t>
      </w:r>
      <w:r w:rsidR="009E4D16">
        <w:t xml:space="preserve">závěr je věnován naplňování indikátorů </w:t>
      </w:r>
      <w:r w:rsidR="00F72B3A">
        <w:t>P</w:t>
      </w:r>
      <w:r w:rsidR="009E4D16">
        <w:t>rogramu a</w:t>
      </w:r>
      <w:r w:rsidR="007B5BDE">
        <w:t> </w:t>
      </w:r>
      <w:r w:rsidR="009E4D16">
        <w:t>souhrnu hodnocení jeho dosavadní realizace.</w:t>
      </w:r>
    </w:p>
    <w:p w14:paraId="698D3608" w14:textId="77777777" w:rsidR="00217CAE" w:rsidRDefault="00217CAE">
      <w:pPr>
        <w:spacing w:after="200" w:line="276" w:lineRule="auto"/>
        <w:rPr>
          <w:rFonts w:asciiTheme="majorHAnsi" w:eastAsiaTheme="majorEastAsia" w:hAnsiTheme="majorHAnsi" w:cstheme="majorBidi"/>
          <w:b/>
          <w:color w:val="004B8D" w:themeColor="text2"/>
          <w:sz w:val="28"/>
          <w:szCs w:val="32"/>
        </w:rPr>
      </w:pPr>
      <w:r>
        <w:br w:type="page"/>
      </w:r>
    </w:p>
    <w:p w14:paraId="1937EC0C" w14:textId="5343C298" w:rsidR="003B124A" w:rsidRDefault="00C17226" w:rsidP="00F65956">
      <w:pPr>
        <w:pStyle w:val="Nadpis1"/>
      </w:pPr>
      <w:bookmarkStart w:id="2" w:name="_Toc185334550"/>
      <w:r>
        <w:lastRenderedPageBreak/>
        <w:t>ZÁKLADNÍ ÚDAJE O</w:t>
      </w:r>
      <w:r w:rsidR="00CE7C79">
        <w:t> </w:t>
      </w:r>
      <w:r>
        <w:t>PROGRAMU</w:t>
      </w:r>
      <w:bookmarkEnd w:id="2"/>
    </w:p>
    <w:p w14:paraId="11674F65" w14:textId="551D9051" w:rsidR="00C17226" w:rsidRPr="006262BA" w:rsidRDefault="00C17226"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szCs w:val="24"/>
        </w:rPr>
      </w:pPr>
      <w:r w:rsidRPr="006262BA">
        <w:rPr>
          <w:rFonts w:asciiTheme="majorHAnsi" w:hAnsiTheme="majorHAnsi"/>
          <w:b/>
          <w:szCs w:val="24"/>
        </w:rPr>
        <w:t xml:space="preserve">Kód </w:t>
      </w:r>
      <w:r>
        <w:rPr>
          <w:rFonts w:asciiTheme="majorHAnsi" w:hAnsiTheme="majorHAnsi"/>
          <w:b/>
          <w:szCs w:val="24"/>
        </w:rPr>
        <w:t>P</w:t>
      </w:r>
      <w:r w:rsidRPr="006262BA">
        <w:rPr>
          <w:rFonts w:asciiTheme="majorHAnsi" w:hAnsiTheme="majorHAnsi"/>
          <w:b/>
          <w:szCs w:val="24"/>
        </w:rPr>
        <w:t>rogramu:</w:t>
      </w:r>
      <w:r w:rsidRPr="006262BA">
        <w:rPr>
          <w:rFonts w:asciiTheme="majorHAnsi" w:hAnsiTheme="majorHAnsi"/>
          <w:szCs w:val="24"/>
        </w:rPr>
        <w:t xml:space="preserve"> F</w:t>
      </w:r>
      <w:r w:rsidR="00847DF7">
        <w:rPr>
          <w:rFonts w:asciiTheme="majorHAnsi" w:hAnsiTheme="majorHAnsi"/>
          <w:szCs w:val="24"/>
        </w:rPr>
        <w:t>W</w:t>
      </w:r>
      <w:r w:rsidRPr="006262BA">
        <w:rPr>
          <w:rFonts w:asciiTheme="majorHAnsi" w:hAnsiTheme="majorHAnsi"/>
          <w:szCs w:val="24"/>
        </w:rPr>
        <w:t xml:space="preserve"> (dle Informačního systému výzkumu, experimentálního vývoje a</w:t>
      </w:r>
      <w:r w:rsidR="00CE7C79">
        <w:rPr>
          <w:rFonts w:asciiTheme="majorHAnsi" w:hAnsiTheme="majorHAnsi"/>
          <w:szCs w:val="24"/>
        </w:rPr>
        <w:t> </w:t>
      </w:r>
      <w:r w:rsidRPr="006262BA">
        <w:rPr>
          <w:rFonts w:asciiTheme="majorHAnsi" w:hAnsiTheme="majorHAnsi"/>
          <w:szCs w:val="24"/>
        </w:rPr>
        <w:t>inovací – IS VaVaI)</w:t>
      </w:r>
    </w:p>
    <w:p w14:paraId="435D90A9" w14:textId="0AD1FEE7" w:rsidR="00C17226" w:rsidRPr="006262BA" w:rsidRDefault="00C17226"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szCs w:val="24"/>
        </w:rPr>
      </w:pPr>
      <w:r w:rsidRPr="006262BA">
        <w:rPr>
          <w:rFonts w:asciiTheme="majorHAnsi" w:hAnsiTheme="majorHAnsi"/>
          <w:b/>
          <w:szCs w:val="24"/>
        </w:rPr>
        <w:t>Schválená doba trvání:</w:t>
      </w:r>
      <w:r w:rsidRPr="006262BA">
        <w:rPr>
          <w:rFonts w:asciiTheme="majorHAnsi" w:hAnsiTheme="majorHAnsi"/>
          <w:szCs w:val="24"/>
        </w:rPr>
        <w:t xml:space="preserve"> 1. ledna </w:t>
      </w:r>
      <w:r w:rsidR="00847DF7" w:rsidRPr="006262BA">
        <w:rPr>
          <w:rFonts w:asciiTheme="majorHAnsi" w:hAnsiTheme="majorHAnsi"/>
          <w:szCs w:val="24"/>
        </w:rPr>
        <w:t>20</w:t>
      </w:r>
      <w:r w:rsidR="00847DF7">
        <w:rPr>
          <w:rFonts w:asciiTheme="majorHAnsi" w:hAnsiTheme="majorHAnsi"/>
          <w:szCs w:val="24"/>
        </w:rPr>
        <w:t>20</w:t>
      </w:r>
      <w:r w:rsidR="0030650E">
        <w:rPr>
          <w:rFonts w:asciiTheme="majorHAnsi" w:hAnsiTheme="majorHAnsi"/>
          <w:szCs w:val="24"/>
        </w:rPr>
        <w:t xml:space="preserve"> až </w:t>
      </w:r>
      <w:r w:rsidR="00847DF7" w:rsidRPr="006262BA">
        <w:rPr>
          <w:rFonts w:asciiTheme="majorHAnsi" w:hAnsiTheme="majorHAnsi"/>
          <w:szCs w:val="24"/>
        </w:rPr>
        <w:t>31</w:t>
      </w:r>
      <w:r w:rsidRPr="006262BA">
        <w:rPr>
          <w:rFonts w:asciiTheme="majorHAnsi" w:hAnsiTheme="majorHAnsi"/>
          <w:szCs w:val="24"/>
        </w:rPr>
        <w:t>. prosince 202</w:t>
      </w:r>
      <w:r w:rsidR="00847DF7">
        <w:rPr>
          <w:rFonts w:asciiTheme="majorHAnsi" w:hAnsiTheme="majorHAnsi"/>
          <w:szCs w:val="24"/>
        </w:rPr>
        <w:t>7</w:t>
      </w:r>
    </w:p>
    <w:p w14:paraId="18229CFC" w14:textId="77777777" w:rsidR="00847DF7" w:rsidRDefault="00C17226"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szCs w:val="24"/>
        </w:rPr>
      </w:pPr>
      <w:r w:rsidRPr="006262BA">
        <w:rPr>
          <w:rFonts w:asciiTheme="majorHAnsi" w:hAnsiTheme="majorHAnsi"/>
          <w:b/>
          <w:szCs w:val="24"/>
        </w:rPr>
        <w:t>Poskytovatel:</w:t>
      </w:r>
      <w:r w:rsidRPr="006262BA">
        <w:rPr>
          <w:rFonts w:asciiTheme="majorHAnsi" w:hAnsiTheme="majorHAnsi"/>
          <w:szCs w:val="24"/>
        </w:rPr>
        <w:t xml:space="preserve"> </w:t>
      </w:r>
      <w:r w:rsidR="00847DF7">
        <w:rPr>
          <w:rFonts w:asciiTheme="majorHAnsi" w:hAnsiTheme="majorHAnsi"/>
          <w:szCs w:val="24"/>
        </w:rPr>
        <w:t>Technologická agentura České republiky</w:t>
      </w:r>
    </w:p>
    <w:p w14:paraId="77837B5B" w14:textId="40A396D9" w:rsidR="00C17226" w:rsidRPr="006262BA" w:rsidRDefault="00847DF7"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szCs w:val="24"/>
        </w:rPr>
      </w:pPr>
      <w:r w:rsidRPr="00847DF7">
        <w:rPr>
          <w:rFonts w:asciiTheme="majorHAnsi" w:hAnsiTheme="majorHAnsi"/>
          <w:b/>
          <w:szCs w:val="24"/>
        </w:rPr>
        <w:t xml:space="preserve">Gestor programu </w:t>
      </w:r>
      <w:r>
        <w:rPr>
          <w:rFonts w:asciiTheme="majorHAnsi" w:hAnsiTheme="majorHAnsi"/>
          <w:szCs w:val="24"/>
        </w:rPr>
        <w:t xml:space="preserve">(rezortní program): </w:t>
      </w:r>
      <w:r w:rsidR="00C17226" w:rsidRPr="006262BA">
        <w:rPr>
          <w:rFonts w:asciiTheme="majorHAnsi" w:hAnsiTheme="majorHAnsi"/>
          <w:szCs w:val="24"/>
        </w:rPr>
        <w:t>Ministerstvo průmyslu a</w:t>
      </w:r>
      <w:r w:rsidR="00CE7C79">
        <w:rPr>
          <w:rFonts w:asciiTheme="majorHAnsi" w:hAnsiTheme="majorHAnsi"/>
          <w:szCs w:val="24"/>
        </w:rPr>
        <w:t> </w:t>
      </w:r>
      <w:r w:rsidR="00C17226" w:rsidRPr="006262BA">
        <w:rPr>
          <w:rFonts w:asciiTheme="majorHAnsi" w:hAnsiTheme="majorHAnsi"/>
          <w:szCs w:val="24"/>
        </w:rPr>
        <w:t>obchodu</w:t>
      </w:r>
    </w:p>
    <w:p w14:paraId="0CBDAE20" w14:textId="77777777" w:rsidR="00CF438E" w:rsidRDefault="00CF438E"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b/>
          <w:szCs w:val="24"/>
        </w:rPr>
      </w:pPr>
      <w:r w:rsidRPr="006262BA">
        <w:rPr>
          <w:rFonts w:asciiTheme="majorHAnsi" w:hAnsiTheme="majorHAnsi"/>
          <w:b/>
          <w:szCs w:val="24"/>
        </w:rPr>
        <w:t xml:space="preserve">Plánované celkové </w:t>
      </w:r>
      <w:r>
        <w:rPr>
          <w:rFonts w:asciiTheme="majorHAnsi" w:hAnsiTheme="majorHAnsi"/>
          <w:b/>
          <w:szCs w:val="24"/>
        </w:rPr>
        <w:t>náklady projektů</w:t>
      </w:r>
      <w:r w:rsidRPr="006262BA">
        <w:rPr>
          <w:rFonts w:asciiTheme="majorHAnsi" w:hAnsiTheme="majorHAnsi"/>
          <w:b/>
          <w:szCs w:val="24"/>
        </w:rPr>
        <w:t xml:space="preserve">: </w:t>
      </w:r>
      <w:r>
        <w:rPr>
          <w:rFonts w:asciiTheme="majorHAnsi" w:hAnsiTheme="majorHAnsi"/>
          <w:szCs w:val="24"/>
        </w:rPr>
        <w:t>14 923</w:t>
      </w:r>
      <w:r w:rsidRPr="00B8389D">
        <w:rPr>
          <w:rFonts w:asciiTheme="majorHAnsi" w:hAnsiTheme="majorHAnsi"/>
          <w:szCs w:val="24"/>
        </w:rPr>
        <w:t> mil. Kč</w:t>
      </w:r>
      <w:r w:rsidRPr="006262BA">
        <w:rPr>
          <w:rFonts w:asciiTheme="majorHAnsi" w:hAnsiTheme="majorHAnsi"/>
          <w:b/>
          <w:szCs w:val="24"/>
        </w:rPr>
        <w:t xml:space="preserve"> </w:t>
      </w:r>
    </w:p>
    <w:p w14:paraId="50935236" w14:textId="25A6D81E" w:rsidR="0092486B" w:rsidRPr="002B23F8" w:rsidRDefault="0092486B"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b/>
          <w:szCs w:val="24"/>
        </w:rPr>
      </w:pPr>
      <w:r w:rsidRPr="006262BA">
        <w:rPr>
          <w:rFonts w:asciiTheme="majorHAnsi" w:hAnsiTheme="majorHAnsi"/>
          <w:b/>
          <w:szCs w:val="24"/>
        </w:rPr>
        <w:t xml:space="preserve">Plánované výdaje </w:t>
      </w:r>
      <w:r>
        <w:rPr>
          <w:rFonts w:asciiTheme="majorHAnsi" w:hAnsiTheme="majorHAnsi"/>
          <w:b/>
          <w:szCs w:val="24"/>
        </w:rPr>
        <w:t xml:space="preserve">Programu </w:t>
      </w:r>
      <w:r w:rsidRPr="006262BA">
        <w:rPr>
          <w:rFonts w:asciiTheme="majorHAnsi" w:hAnsiTheme="majorHAnsi"/>
          <w:b/>
          <w:szCs w:val="24"/>
        </w:rPr>
        <w:t>ze s</w:t>
      </w:r>
      <w:r w:rsidRPr="002B23F8">
        <w:rPr>
          <w:rFonts w:asciiTheme="majorHAnsi" w:hAnsiTheme="majorHAnsi"/>
          <w:b/>
          <w:szCs w:val="24"/>
        </w:rPr>
        <w:t>tátního rozpočtu:</w:t>
      </w:r>
      <w:r w:rsidRPr="002B23F8">
        <w:rPr>
          <w:rFonts w:asciiTheme="majorHAnsi" w:hAnsiTheme="majorHAnsi"/>
          <w:szCs w:val="24"/>
        </w:rPr>
        <w:t xml:space="preserve"> 9 700 mil. Kč</w:t>
      </w:r>
    </w:p>
    <w:p w14:paraId="166AD5CB" w14:textId="6BC011A9" w:rsidR="00C17226" w:rsidRPr="002B23F8" w:rsidRDefault="00C17226"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b/>
          <w:szCs w:val="24"/>
        </w:rPr>
      </w:pPr>
      <w:r w:rsidRPr="002B23F8">
        <w:rPr>
          <w:rFonts w:asciiTheme="majorHAnsi" w:hAnsiTheme="majorHAnsi"/>
          <w:b/>
          <w:szCs w:val="24"/>
        </w:rPr>
        <w:t>Aktuální očekávané náklady</w:t>
      </w:r>
      <w:r w:rsidR="007B5BDE" w:rsidRPr="002B23F8">
        <w:rPr>
          <w:rStyle w:val="Znakapoznpodarou"/>
          <w:rFonts w:asciiTheme="majorHAnsi" w:hAnsiTheme="majorHAnsi"/>
          <w:b/>
          <w:szCs w:val="24"/>
        </w:rPr>
        <w:footnoteReference w:id="1"/>
      </w:r>
      <w:r w:rsidRPr="002B23F8">
        <w:rPr>
          <w:rFonts w:asciiTheme="majorHAnsi" w:hAnsiTheme="majorHAnsi"/>
          <w:b/>
          <w:szCs w:val="24"/>
        </w:rPr>
        <w:t xml:space="preserve">: </w:t>
      </w:r>
      <w:r w:rsidR="007B5BDE" w:rsidRPr="002B23F8">
        <w:rPr>
          <w:rFonts w:asciiTheme="majorHAnsi" w:hAnsiTheme="majorHAnsi"/>
          <w:szCs w:val="24"/>
        </w:rPr>
        <w:t>16 02</w:t>
      </w:r>
      <w:r w:rsidR="00F72B3A">
        <w:rPr>
          <w:rFonts w:asciiTheme="majorHAnsi" w:hAnsiTheme="majorHAnsi"/>
          <w:szCs w:val="24"/>
        </w:rPr>
        <w:t>8</w:t>
      </w:r>
      <w:r w:rsidRPr="002B23F8">
        <w:rPr>
          <w:rFonts w:asciiTheme="majorHAnsi" w:hAnsiTheme="majorHAnsi"/>
          <w:szCs w:val="24"/>
        </w:rPr>
        <w:t xml:space="preserve"> mil. Kč</w:t>
      </w:r>
    </w:p>
    <w:p w14:paraId="48221259" w14:textId="59F7CA88" w:rsidR="00C17226" w:rsidRPr="006262BA" w:rsidRDefault="00C17226" w:rsidP="00972867">
      <w:pPr>
        <w:pBdr>
          <w:top w:val="single" w:sz="4" w:space="1" w:color="auto"/>
          <w:left w:val="single" w:sz="4" w:space="4" w:color="auto"/>
          <w:bottom w:val="single" w:sz="4" w:space="1" w:color="auto"/>
          <w:right w:val="single" w:sz="4" w:space="4" w:color="auto"/>
        </w:pBdr>
        <w:spacing w:after="120" w:line="276" w:lineRule="auto"/>
        <w:jc w:val="both"/>
        <w:rPr>
          <w:rFonts w:asciiTheme="majorHAnsi" w:hAnsiTheme="majorHAnsi"/>
          <w:szCs w:val="24"/>
        </w:rPr>
      </w:pPr>
      <w:r w:rsidRPr="002B23F8">
        <w:rPr>
          <w:rFonts w:asciiTheme="majorHAnsi" w:hAnsiTheme="majorHAnsi"/>
          <w:b/>
          <w:szCs w:val="24"/>
        </w:rPr>
        <w:t>Aktuální očekávané výdaje ze státního rozpočtu</w:t>
      </w:r>
      <w:r w:rsidR="00CF438E" w:rsidRPr="002B23F8">
        <w:rPr>
          <w:rFonts w:asciiTheme="majorHAnsi" w:hAnsiTheme="majorHAnsi"/>
          <w:b/>
          <w:szCs w:val="24"/>
          <w:vertAlign w:val="superscript"/>
        </w:rPr>
        <w:t>1</w:t>
      </w:r>
      <w:r w:rsidRPr="002B23F8">
        <w:rPr>
          <w:rFonts w:asciiTheme="majorHAnsi" w:hAnsiTheme="majorHAnsi"/>
          <w:b/>
          <w:szCs w:val="24"/>
        </w:rPr>
        <w:t xml:space="preserve">: </w:t>
      </w:r>
      <w:r w:rsidR="007B5BDE" w:rsidRPr="002B23F8">
        <w:rPr>
          <w:rFonts w:asciiTheme="majorHAnsi" w:hAnsiTheme="majorHAnsi"/>
          <w:szCs w:val="24"/>
        </w:rPr>
        <w:t>10 464</w:t>
      </w:r>
      <w:r w:rsidRPr="002B23F8">
        <w:rPr>
          <w:rFonts w:asciiTheme="majorHAnsi" w:hAnsiTheme="majorHAnsi"/>
          <w:szCs w:val="24"/>
        </w:rPr>
        <w:t xml:space="preserve"> mil</w:t>
      </w:r>
      <w:r w:rsidRPr="00FC0B39">
        <w:rPr>
          <w:rFonts w:asciiTheme="majorHAnsi" w:hAnsiTheme="majorHAnsi"/>
          <w:szCs w:val="24"/>
        </w:rPr>
        <w:t>. Kč</w:t>
      </w:r>
    </w:p>
    <w:p w14:paraId="0F31169E" w14:textId="77777777" w:rsidR="00C17226" w:rsidRPr="006262BA" w:rsidRDefault="00C17226" w:rsidP="002E1B59">
      <w:pPr>
        <w:spacing w:after="120"/>
        <w:jc w:val="both"/>
        <w:rPr>
          <w:rFonts w:asciiTheme="majorHAnsi" w:hAnsiTheme="majorHAnsi"/>
          <w:b/>
          <w:szCs w:val="24"/>
        </w:rPr>
      </w:pPr>
      <w:r w:rsidRPr="006262BA">
        <w:rPr>
          <w:rFonts w:asciiTheme="majorHAnsi" w:hAnsiTheme="majorHAnsi"/>
          <w:b/>
          <w:szCs w:val="24"/>
          <w:u w:val="single"/>
        </w:rPr>
        <w:t xml:space="preserve">Právní rámec </w:t>
      </w:r>
      <w:r>
        <w:rPr>
          <w:rFonts w:asciiTheme="majorHAnsi" w:hAnsiTheme="majorHAnsi"/>
          <w:b/>
          <w:szCs w:val="24"/>
          <w:u w:val="single"/>
        </w:rPr>
        <w:t>P</w:t>
      </w:r>
      <w:r w:rsidRPr="006262BA">
        <w:rPr>
          <w:rFonts w:asciiTheme="majorHAnsi" w:hAnsiTheme="majorHAnsi"/>
          <w:b/>
          <w:szCs w:val="24"/>
          <w:u w:val="single"/>
        </w:rPr>
        <w:t>rogramu</w:t>
      </w:r>
      <w:r w:rsidRPr="006262BA">
        <w:rPr>
          <w:rFonts w:asciiTheme="majorHAnsi" w:hAnsiTheme="majorHAnsi"/>
          <w:b/>
          <w:szCs w:val="24"/>
        </w:rPr>
        <w:t>:</w:t>
      </w:r>
    </w:p>
    <w:p w14:paraId="693D5728" w14:textId="77777777" w:rsidR="00C17226" w:rsidRPr="00000AE3" w:rsidRDefault="00C17226" w:rsidP="002E1B59">
      <w:pPr>
        <w:spacing w:after="120"/>
        <w:jc w:val="both"/>
      </w:pPr>
      <w:r w:rsidRPr="00000AE3">
        <w:t xml:space="preserve">Program </w:t>
      </w:r>
      <w:r>
        <w:t>je</w:t>
      </w:r>
      <w:r w:rsidRPr="00000AE3">
        <w:t xml:space="preserve"> realizován podle:</w:t>
      </w:r>
    </w:p>
    <w:p w14:paraId="7145765D" w14:textId="203B9D84" w:rsidR="00C17226" w:rsidRPr="00000AE3" w:rsidRDefault="00C17226" w:rsidP="002E1B59">
      <w:pPr>
        <w:numPr>
          <w:ilvl w:val="0"/>
          <w:numId w:val="10"/>
        </w:numPr>
        <w:spacing w:after="120"/>
        <w:ind w:left="284" w:hanging="284"/>
        <w:contextualSpacing/>
        <w:jc w:val="both"/>
        <w:rPr>
          <w:rFonts w:cs="Arial"/>
          <w:i/>
        </w:rPr>
      </w:pPr>
      <w:r w:rsidRPr="00000AE3">
        <w:rPr>
          <w:rFonts w:cs="Arial"/>
        </w:rPr>
        <w:t>zákona č. 130/2002 Sb., o</w:t>
      </w:r>
      <w:r w:rsidR="00CE7C79">
        <w:rPr>
          <w:rFonts w:cs="Arial"/>
        </w:rPr>
        <w:t> </w:t>
      </w:r>
      <w:r w:rsidRPr="00000AE3">
        <w:rPr>
          <w:rFonts w:cs="Arial"/>
        </w:rPr>
        <w:t>podpoře výzkumu, experimentálního vývoje a</w:t>
      </w:r>
      <w:r w:rsidR="00CE7C79">
        <w:rPr>
          <w:rFonts w:cs="Arial"/>
        </w:rPr>
        <w:t> </w:t>
      </w:r>
      <w:r w:rsidRPr="00000AE3">
        <w:rPr>
          <w:rFonts w:cs="Arial"/>
        </w:rPr>
        <w:t>inovací z</w:t>
      </w:r>
      <w:r w:rsidR="00CE7C79">
        <w:rPr>
          <w:rFonts w:cs="Arial"/>
        </w:rPr>
        <w:t> </w:t>
      </w:r>
      <w:r w:rsidRPr="00000AE3">
        <w:rPr>
          <w:rFonts w:cs="Arial"/>
        </w:rPr>
        <w:t>veřejných prostředků a</w:t>
      </w:r>
      <w:r w:rsidR="00CE7C79">
        <w:rPr>
          <w:rFonts w:cs="Arial"/>
        </w:rPr>
        <w:t> </w:t>
      </w:r>
      <w:r w:rsidRPr="00000AE3">
        <w:rPr>
          <w:rFonts w:cs="Arial"/>
        </w:rPr>
        <w:t>o změně některých souvisejících zákonů (zákon o</w:t>
      </w:r>
      <w:r w:rsidR="00CE7C79">
        <w:rPr>
          <w:rFonts w:cs="Arial"/>
        </w:rPr>
        <w:t> </w:t>
      </w:r>
      <w:r w:rsidRPr="00000AE3">
        <w:rPr>
          <w:rFonts w:cs="Arial"/>
        </w:rPr>
        <w:t>podpoře výzkumu, experimentálního vývoje a</w:t>
      </w:r>
      <w:r w:rsidR="00CE7C79">
        <w:rPr>
          <w:rFonts w:cs="Arial"/>
        </w:rPr>
        <w:t> </w:t>
      </w:r>
      <w:r w:rsidRPr="00000AE3">
        <w:rPr>
          <w:rFonts w:cs="Arial"/>
        </w:rPr>
        <w:t>inovací), ve znění pozdějších předpisů (dále jen „zákon“);</w:t>
      </w:r>
    </w:p>
    <w:p w14:paraId="10DAD004" w14:textId="73928334" w:rsidR="00C17226" w:rsidRPr="00000AE3" w:rsidRDefault="00C17226" w:rsidP="002E1B59">
      <w:pPr>
        <w:numPr>
          <w:ilvl w:val="0"/>
          <w:numId w:val="10"/>
        </w:numPr>
        <w:spacing w:after="120"/>
        <w:ind w:left="284" w:hanging="284"/>
        <w:contextualSpacing/>
        <w:jc w:val="both"/>
        <w:rPr>
          <w:rFonts w:cs="Arial"/>
          <w:i/>
        </w:rPr>
      </w:pPr>
      <w:r w:rsidRPr="00000AE3">
        <w:rPr>
          <w:rFonts w:cs="Arial"/>
        </w:rPr>
        <w:t>Nařízení Komise (EU) č. 651/2014 ze dne 17. června 2014, kterým se v</w:t>
      </w:r>
      <w:r w:rsidR="00CE7C79">
        <w:rPr>
          <w:rFonts w:cs="Arial"/>
        </w:rPr>
        <w:t> </w:t>
      </w:r>
      <w:r w:rsidRPr="00000AE3">
        <w:rPr>
          <w:rFonts w:cs="Arial"/>
        </w:rPr>
        <w:t>souladu s</w:t>
      </w:r>
      <w:r w:rsidR="00CE7C79">
        <w:rPr>
          <w:rFonts w:cs="Arial"/>
        </w:rPr>
        <w:t> </w:t>
      </w:r>
      <w:r w:rsidRPr="00000AE3">
        <w:rPr>
          <w:rFonts w:cs="Arial"/>
        </w:rPr>
        <w:t>články 107 a</w:t>
      </w:r>
      <w:r w:rsidR="00CE7C79">
        <w:rPr>
          <w:rFonts w:cs="Arial"/>
        </w:rPr>
        <w:t> </w:t>
      </w:r>
      <w:r w:rsidRPr="00000AE3">
        <w:rPr>
          <w:rFonts w:cs="Arial"/>
        </w:rPr>
        <w:t>108 Smlouvy prohlašují určité kategorie podpory za slučitelné s</w:t>
      </w:r>
      <w:r w:rsidR="00CE7C79">
        <w:rPr>
          <w:rFonts w:cs="Arial"/>
        </w:rPr>
        <w:t> </w:t>
      </w:r>
      <w:r w:rsidRPr="00000AE3">
        <w:rPr>
          <w:rFonts w:cs="Arial"/>
        </w:rPr>
        <w:t>vnitřním trhem (dále jen „Nařízení Komise“);</w:t>
      </w:r>
    </w:p>
    <w:p w14:paraId="356AD13E" w14:textId="2924B6A5" w:rsidR="00C17226" w:rsidRPr="00000AE3" w:rsidRDefault="00C17226" w:rsidP="002E1B59">
      <w:pPr>
        <w:numPr>
          <w:ilvl w:val="0"/>
          <w:numId w:val="10"/>
        </w:numPr>
        <w:spacing w:after="120"/>
        <w:ind w:left="284" w:hanging="284"/>
        <w:contextualSpacing/>
        <w:jc w:val="both"/>
        <w:rPr>
          <w:rFonts w:cs="Arial"/>
          <w:i/>
        </w:rPr>
      </w:pPr>
      <w:r w:rsidRPr="00000AE3">
        <w:rPr>
          <w:rFonts w:cs="Arial"/>
        </w:rPr>
        <w:t>Sdělení Komise Rámec pro státní podporu výzkumu, vývoje a</w:t>
      </w:r>
      <w:r w:rsidR="00CE7C79">
        <w:rPr>
          <w:rFonts w:cs="Arial"/>
        </w:rPr>
        <w:t> </w:t>
      </w:r>
      <w:r w:rsidRPr="00000AE3">
        <w:rPr>
          <w:rFonts w:cs="Arial"/>
        </w:rPr>
        <w:t>inovací (2014/C 198/01) (dále jen „Rámec“);</w:t>
      </w:r>
    </w:p>
    <w:p w14:paraId="5DE9FC4E" w14:textId="77777777" w:rsidR="00C17226" w:rsidRPr="00000AE3" w:rsidRDefault="00C17226" w:rsidP="002E1B59">
      <w:pPr>
        <w:numPr>
          <w:ilvl w:val="0"/>
          <w:numId w:val="10"/>
        </w:numPr>
        <w:spacing w:after="120"/>
        <w:ind w:left="284" w:hanging="284"/>
        <w:jc w:val="both"/>
        <w:rPr>
          <w:rFonts w:cs="Arial"/>
          <w:i/>
        </w:rPr>
      </w:pPr>
      <w:r w:rsidRPr="00000AE3">
        <w:rPr>
          <w:rFonts w:cs="Arial"/>
        </w:rPr>
        <w:t>a podle ostatních souvisejících předpisů.</w:t>
      </w:r>
    </w:p>
    <w:p w14:paraId="748132CB" w14:textId="0573E05C" w:rsidR="00C17226" w:rsidRDefault="00C17226" w:rsidP="002E1B59">
      <w:pPr>
        <w:spacing w:after="120"/>
        <w:jc w:val="both"/>
        <w:rPr>
          <w:rFonts w:cs="Arial"/>
        </w:rPr>
      </w:pPr>
      <w:r w:rsidRPr="00000AE3">
        <w:rPr>
          <w:rFonts w:cs="Arial"/>
        </w:rPr>
        <w:t>Program je vyňat z</w:t>
      </w:r>
      <w:r w:rsidR="00CE7C79">
        <w:rPr>
          <w:rFonts w:cs="Arial"/>
        </w:rPr>
        <w:t> </w:t>
      </w:r>
      <w:r w:rsidRPr="00000AE3">
        <w:rPr>
          <w:rFonts w:cs="Arial"/>
        </w:rPr>
        <w:t>oznamovací povinnosti podle čl. 108 odst. 3 Smlouvy o</w:t>
      </w:r>
      <w:r w:rsidR="00CE7C79">
        <w:rPr>
          <w:rFonts w:cs="Arial"/>
        </w:rPr>
        <w:t> </w:t>
      </w:r>
      <w:r w:rsidRPr="00000AE3">
        <w:rPr>
          <w:rFonts w:cs="Arial"/>
        </w:rPr>
        <w:t>fungování Evropské unie, neboť splňuje podmínky Nařízení Komise.</w:t>
      </w:r>
    </w:p>
    <w:p w14:paraId="1B869C9F" w14:textId="596594A3" w:rsidR="00C17226" w:rsidRPr="00000AE3" w:rsidRDefault="00C17226" w:rsidP="002E1B59">
      <w:pPr>
        <w:spacing w:after="120"/>
        <w:jc w:val="both"/>
        <w:rPr>
          <w:rFonts w:cs="Arial"/>
        </w:rPr>
      </w:pPr>
      <w:r w:rsidRPr="006A0ABB">
        <w:rPr>
          <w:rFonts w:cstheme="minorHAnsi"/>
        </w:rPr>
        <w:t xml:space="preserve">Program </w:t>
      </w:r>
      <w:r>
        <w:rPr>
          <w:rFonts w:cstheme="minorHAnsi"/>
        </w:rPr>
        <w:t>je</w:t>
      </w:r>
      <w:r w:rsidRPr="006A0ABB">
        <w:rPr>
          <w:rFonts w:cstheme="minorHAnsi"/>
        </w:rPr>
        <w:t xml:space="preserve"> realizován formou jednostupňových veřejných soutěží</w:t>
      </w:r>
      <w:r>
        <w:rPr>
          <w:rFonts w:cstheme="minorHAnsi"/>
        </w:rPr>
        <w:t xml:space="preserve"> </w:t>
      </w:r>
      <w:r w:rsidRPr="006A0ABB">
        <w:rPr>
          <w:rFonts w:cstheme="minorHAnsi"/>
        </w:rPr>
        <w:t>ve výzkumu, experimentálním vývoji a</w:t>
      </w:r>
      <w:r w:rsidR="00CE7C79">
        <w:rPr>
          <w:rFonts w:cstheme="minorHAnsi"/>
        </w:rPr>
        <w:t> </w:t>
      </w:r>
      <w:r w:rsidRPr="006A0ABB">
        <w:rPr>
          <w:rFonts w:cstheme="minorHAnsi"/>
        </w:rPr>
        <w:t xml:space="preserve">inovacích </w:t>
      </w:r>
      <w:r>
        <w:rPr>
          <w:rFonts w:cstheme="minorHAnsi"/>
        </w:rPr>
        <w:t>(dále</w:t>
      </w:r>
      <w:r w:rsidR="00A54266">
        <w:rPr>
          <w:rFonts w:cstheme="minorHAnsi"/>
        </w:rPr>
        <w:t xml:space="preserve"> také</w:t>
      </w:r>
      <w:r>
        <w:rPr>
          <w:rFonts w:cstheme="minorHAnsi"/>
        </w:rPr>
        <w:t xml:space="preserve"> jen </w:t>
      </w:r>
      <w:r w:rsidR="00A54266">
        <w:rPr>
          <w:rFonts w:cstheme="minorHAnsi"/>
        </w:rPr>
        <w:t>„</w:t>
      </w:r>
      <w:r>
        <w:rPr>
          <w:rFonts w:cstheme="minorHAnsi"/>
        </w:rPr>
        <w:t>VS</w:t>
      </w:r>
      <w:r w:rsidR="00A54266">
        <w:rPr>
          <w:rFonts w:cstheme="minorHAnsi"/>
        </w:rPr>
        <w:t>“</w:t>
      </w:r>
      <w:r>
        <w:rPr>
          <w:rFonts w:cstheme="minorHAnsi"/>
        </w:rPr>
        <w:t>)</w:t>
      </w:r>
      <w:r w:rsidRPr="006A0ABB">
        <w:rPr>
          <w:rFonts w:cstheme="minorHAnsi"/>
        </w:rPr>
        <w:t xml:space="preserve"> podle zákona</w:t>
      </w:r>
      <w:r>
        <w:rPr>
          <w:rFonts w:cstheme="minorHAnsi"/>
        </w:rPr>
        <w:t>.</w:t>
      </w:r>
    </w:p>
    <w:p w14:paraId="16333171" w14:textId="1AC56E40" w:rsidR="00C17226" w:rsidRPr="00000AE3" w:rsidRDefault="00C17226" w:rsidP="002E1B59">
      <w:pPr>
        <w:spacing w:after="120"/>
        <w:jc w:val="both"/>
        <w:rPr>
          <w:rFonts w:cs="Arial"/>
          <w:i/>
        </w:rPr>
      </w:pPr>
      <w:r w:rsidRPr="00000AE3">
        <w:rPr>
          <w:rFonts w:cs="Arial"/>
        </w:rPr>
        <w:t xml:space="preserve">Program naplňuje </w:t>
      </w:r>
      <w:r w:rsidRPr="0092773F">
        <w:rPr>
          <w:rFonts w:cs="Arial"/>
          <w:u w:val="single"/>
        </w:rPr>
        <w:t>Národní priority orientovaného výzkumu, experimentálního vývoje a</w:t>
      </w:r>
      <w:r w:rsidR="00CE7C79">
        <w:rPr>
          <w:rFonts w:cs="Arial"/>
          <w:u w:val="single"/>
        </w:rPr>
        <w:t> </w:t>
      </w:r>
      <w:r w:rsidRPr="0092773F">
        <w:rPr>
          <w:rFonts w:cs="Arial"/>
          <w:u w:val="single"/>
        </w:rPr>
        <w:t>inovací</w:t>
      </w:r>
      <w:r w:rsidR="00E27B7D" w:rsidRPr="00E27B7D">
        <w:rPr>
          <w:rFonts w:cs="Arial"/>
        </w:rPr>
        <w:t xml:space="preserve"> (dále jen „NPOV“)</w:t>
      </w:r>
      <w:r w:rsidRPr="00E27B7D">
        <w:rPr>
          <w:rFonts w:cs="Arial"/>
        </w:rPr>
        <w:t>,</w:t>
      </w:r>
      <w:r w:rsidRPr="00000AE3">
        <w:rPr>
          <w:rFonts w:cs="Arial"/>
        </w:rPr>
        <w:t xml:space="preserve"> které byly přijaty usnesením vlády ze dne 19. července 2012 č. 552,</w:t>
      </w:r>
      <w:r w:rsidR="00195908">
        <w:rPr>
          <w:rFonts w:cs="Arial"/>
        </w:rPr>
        <w:t xml:space="preserve"> a</w:t>
      </w:r>
      <w:r w:rsidR="00CE7C79">
        <w:rPr>
          <w:rFonts w:cs="Arial"/>
        </w:rPr>
        <w:t> </w:t>
      </w:r>
      <w:r w:rsidR="00195908">
        <w:rPr>
          <w:rFonts w:cs="Arial"/>
        </w:rPr>
        <w:t>je v</w:t>
      </w:r>
      <w:r w:rsidR="00CE7C79">
        <w:rPr>
          <w:rFonts w:cs="Arial"/>
        </w:rPr>
        <w:t> </w:t>
      </w:r>
      <w:r w:rsidR="00195908">
        <w:rPr>
          <w:rFonts w:cs="Arial"/>
        </w:rPr>
        <w:t>souladu</w:t>
      </w:r>
      <w:r w:rsidRPr="00000AE3">
        <w:rPr>
          <w:rFonts w:cs="Arial"/>
        </w:rPr>
        <w:t xml:space="preserve"> s</w:t>
      </w:r>
      <w:r w:rsidR="00CE7C79">
        <w:rPr>
          <w:rFonts w:cs="Arial"/>
        </w:rPr>
        <w:t> </w:t>
      </w:r>
      <w:r w:rsidRPr="00000AE3">
        <w:rPr>
          <w:rFonts w:cs="Arial"/>
        </w:rPr>
        <w:t xml:space="preserve">dokumentem </w:t>
      </w:r>
      <w:r w:rsidRPr="0092773F">
        <w:rPr>
          <w:rFonts w:cs="Arial"/>
          <w:u w:val="single"/>
        </w:rPr>
        <w:t>Implementace Národních priorit orientovaného výzkumu, experimentálního vývoje a</w:t>
      </w:r>
      <w:r w:rsidR="00CE7C79">
        <w:rPr>
          <w:rFonts w:cs="Arial"/>
          <w:u w:val="single"/>
        </w:rPr>
        <w:t> </w:t>
      </w:r>
      <w:r w:rsidRPr="0092773F">
        <w:rPr>
          <w:rFonts w:cs="Arial"/>
          <w:u w:val="single"/>
        </w:rPr>
        <w:t>inovací</w:t>
      </w:r>
      <w:r w:rsidRPr="00000AE3">
        <w:rPr>
          <w:rFonts w:cs="Arial"/>
        </w:rPr>
        <w:t>, který byl přijat usnesením vlády ze dne 31. července 2013 č. 569.</w:t>
      </w:r>
    </w:p>
    <w:p w14:paraId="5CC7CA1D" w14:textId="6A702513" w:rsidR="00195908" w:rsidRDefault="00195908" w:rsidP="002E1B59">
      <w:pPr>
        <w:spacing w:after="120"/>
        <w:jc w:val="both"/>
        <w:rPr>
          <w:rFonts w:cs="Arial"/>
        </w:rPr>
      </w:pPr>
      <w:r>
        <w:rPr>
          <w:rFonts w:cs="Arial"/>
        </w:rPr>
        <w:t xml:space="preserve">Text </w:t>
      </w:r>
      <w:r w:rsidR="00F72B3A">
        <w:rPr>
          <w:rFonts w:cs="Arial"/>
        </w:rPr>
        <w:t>P</w:t>
      </w:r>
      <w:r w:rsidRPr="00195908">
        <w:rPr>
          <w:rFonts w:cs="Arial"/>
        </w:rPr>
        <w:t>rogram</w:t>
      </w:r>
      <w:r>
        <w:rPr>
          <w:rFonts w:cs="Arial"/>
        </w:rPr>
        <w:t>u</w:t>
      </w:r>
      <w:r w:rsidRPr="00195908">
        <w:rPr>
          <w:rFonts w:cs="Arial"/>
        </w:rPr>
        <w:t xml:space="preserve"> vychází z</w:t>
      </w:r>
      <w:r w:rsidR="00CE7C79">
        <w:rPr>
          <w:rFonts w:cs="Arial"/>
        </w:rPr>
        <w:t> </w:t>
      </w:r>
      <w:r w:rsidRPr="00195908">
        <w:rPr>
          <w:rFonts w:cs="Arial"/>
          <w:u w:val="single"/>
        </w:rPr>
        <w:t>Národní politiky výzkumu, vývoje a</w:t>
      </w:r>
      <w:r w:rsidR="00CE7C79">
        <w:rPr>
          <w:rFonts w:cs="Arial"/>
          <w:u w:val="single"/>
        </w:rPr>
        <w:t> </w:t>
      </w:r>
      <w:r w:rsidRPr="00195908">
        <w:rPr>
          <w:rFonts w:cs="Arial"/>
          <w:u w:val="single"/>
        </w:rPr>
        <w:t>inovací České republiky na léta 2016–2020</w:t>
      </w:r>
      <w:r w:rsidRPr="00195908">
        <w:rPr>
          <w:rFonts w:cs="Arial"/>
        </w:rPr>
        <w:t xml:space="preserve"> schválené usnesením vlády ze dne 17. února 2016 č. 135 a</w:t>
      </w:r>
      <w:r w:rsidR="00CE7C79">
        <w:rPr>
          <w:rFonts w:cs="Arial"/>
        </w:rPr>
        <w:t> </w:t>
      </w:r>
      <w:r w:rsidRPr="00195908">
        <w:rPr>
          <w:rFonts w:cs="Arial"/>
        </w:rPr>
        <w:t>aktualizované usnesením vlády ze dne 8. února 2019 č. 115, a</w:t>
      </w:r>
      <w:r w:rsidR="00CE7C79">
        <w:rPr>
          <w:rFonts w:cs="Arial"/>
        </w:rPr>
        <w:t> </w:t>
      </w:r>
      <w:r w:rsidRPr="00195908">
        <w:rPr>
          <w:rFonts w:cs="Arial"/>
        </w:rPr>
        <w:t>to zejména z</w:t>
      </w:r>
      <w:r w:rsidR="00CE7C79">
        <w:rPr>
          <w:rFonts w:cs="Arial"/>
        </w:rPr>
        <w:t> </w:t>
      </w:r>
      <w:r w:rsidRPr="00195908">
        <w:rPr>
          <w:rFonts w:cs="Arial"/>
        </w:rPr>
        <w:t>opatření č. 18 a</w:t>
      </w:r>
      <w:r w:rsidR="00CE7C79">
        <w:rPr>
          <w:rFonts w:cs="Arial"/>
        </w:rPr>
        <w:t> </w:t>
      </w:r>
      <w:r w:rsidRPr="00195908">
        <w:rPr>
          <w:rFonts w:cs="Arial"/>
        </w:rPr>
        <w:t>č. 19, jichž</w:t>
      </w:r>
      <w:r>
        <w:rPr>
          <w:rFonts w:cs="Arial"/>
        </w:rPr>
        <w:t xml:space="preserve"> bylo</w:t>
      </w:r>
      <w:r w:rsidRPr="00195908">
        <w:rPr>
          <w:rFonts w:cs="Arial"/>
        </w:rPr>
        <w:t xml:space="preserve"> Ministerstvo průmyslu a</w:t>
      </w:r>
      <w:r w:rsidR="00CE7C79">
        <w:rPr>
          <w:rFonts w:cs="Arial"/>
        </w:rPr>
        <w:t> </w:t>
      </w:r>
      <w:r w:rsidRPr="00195908">
        <w:rPr>
          <w:rFonts w:cs="Arial"/>
        </w:rPr>
        <w:t>obchodu gestorem.</w:t>
      </w:r>
      <w:r>
        <w:rPr>
          <w:rFonts w:cs="Arial"/>
        </w:rPr>
        <w:t xml:space="preserve"> Program naplňuje rovněž </w:t>
      </w:r>
      <w:r w:rsidRPr="00195908">
        <w:rPr>
          <w:rFonts w:cs="Arial"/>
        </w:rPr>
        <w:t>Národní politik</w:t>
      </w:r>
      <w:r>
        <w:rPr>
          <w:rFonts w:cs="Arial"/>
        </w:rPr>
        <w:t>u</w:t>
      </w:r>
      <w:r w:rsidRPr="00195908">
        <w:rPr>
          <w:rFonts w:cs="Arial"/>
        </w:rPr>
        <w:t xml:space="preserve"> výzkumu, vývoje a</w:t>
      </w:r>
      <w:r w:rsidR="00CE7C79">
        <w:rPr>
          <w:rFonts w:cs="Arial"/>
        </w:rPr>
        <w:t> </w:t>
      </w:r>
      <w:r w:rsidRPr="00195908">
        <w:rPr>
          <w:rFonts w:cs="Arial"/>
        </w:rPr>
        <w:t>inovací České republiky 2021+</w:t>
      </w:r>
      <w:r>
        <w:rPr>
          <w:rFonts w:cs="Arial"/>
        </w:rPr>
        <w:t>, která byla schválena u</w:t>
      </w:r>
      <w:r w:rsidRPr="00195908">
        <w:rPr>
          <w:rFonts w:cs="Arial"/>
        </w:rPr>
        <w:t>snesením vlády ze dne 20. července 2020 č. 759</w:t>
      </w:r>
      <w:r w:rsidR="00CE2034">
        <w:rPr>
          <w:rFonts w:cs="Arial"/>
        </w:rPr>
        <w:t>, kde dílčím způsobem přispívá k</w:t>
      </w:r>
      <w:r w:rsidR="00CE7C79">
        <w:rPr>
          <w:rFonts w:cs="Arial"/>
        </w:rPr>
        <w:t> </w:t>
      </w:r>
      <w:r w:rsidR="00CE2034">
        <w:rPr>
          <w:rFonts w:cs="Arial"/>
        </w:rPr>
        <w:t>naplňování zejména opatření 21, 24, 25 a</w:t>
      </w:r>
      <w:r w:rsidR="00CE7C79">
        <w:rPr>
          <w:rFonts w:cs="Arial"/>
        </w:rPr>
        <w:t> </w:t>
      </w:r>
      <w:r w:rsidR="00CE2034">
        <w:rPr>
          <w:rFonts w:cs="Arial"/>
        </w:rPr>
        <w:t>28.</w:t>
      </w:r>
    </w:p>
    <w:p w14:paraId="25C4E365" w14:textId="3CFF4F16" w:rsidR="00F835FA" w:rsidRPr="00972867" w:rsidRDefault="00CE2034" w:rsidP="002E1B59">
      <w:pPr>
        <w:spacing w:after="120"/>
        <w:jc w:val="both"/>
        <w:rPr>
          <w:rFonts w:cs="Arial"/>
        </w:rPr>
      </w:pPr>
      <w:r w:rsidRPr="00CE2034">
        <w:rPr>
          <w:rFonts w:cs="Arial"/>
        </w:rPr>
        <w:t>Program přímo naplňuje cíle a</w:t>
      </w:r>
      <w:r w:rsidR="00CE7C79">
        <w:rPr>
          <w:rFonts w:cs="Arial"/>
        </w:rPr>
        <w:t> </w:t>
      </w:r>
      <w:r w:rsidRPr="00CE2034">
        <w:rPr>
          <w:rFonts w:cs="Arial"/>
        </w:rPr>
        <w:t>priority stanovené v</w:t>
      </w:r>
      <w:r w:rsidR="00CE7C79">
        <w:rPr>
          <w:rFonts w:cs="Arial"/>
        </w:rPr>
        <w:t> </w:t>
      </w:r>
      <w:r w:rsidRPr="00CE2034">
        <w:rPr>
          <w:rFonts w:cs="Arial"/>
          <w:u w:val="single"/>
        </w:rPr>
        <w:t>Národní výzkumné a</w:t>
      </w:r>
      <w:r w:rsidR="00CE7C79">
        <w:rPr>
          <w:rFonts w:cs="Arial"/>
          <w:u w:val="single"/>
        </w:rPr>
        <w:t> </w:t>
      </w:r>
      <w:r w:rsidRPr="00CE2034">
        <w:rPr>
          <w:rFonts w:cs="Arial"/>
          <w:u w:val="single"/>
        </w:rPr>
        <w:t>inovační strategii pro inteligentní specializa</w:t>
      </w:r>
      <w:r w:rsidRPr="00972867">
        <w:rPr>
          <w:rFonts w:cs="Arial"/>
          <w:u w:val="single"/>
        </w:rPr>
        <w:t>ci České republiky 2021–2027</w:t>
      </w:r>
      <w:r w:rsidRPr="00972867">
        <w:rPr>
          <w:rFonts w:cs="Arial"/>
        </w:rPr>
        <w:t xml:space="preserve"> schválené usnesením vlády ze dne 25. ledna 2021 č. 66 (dále jen </w:t>
      </w:r>
      <w:r w:rsidRPr="00972867">
        <w:rPr>
          <w:rFonts w:cs="Arial"/>
        </w:rPr>
        <w:lastRenderedPageBreak/>
        <w:t>„Národní RIS3 strategie“), zejména strategické cíle Zvýšení inovační výkonnosti firem a</w:t>
      </w:r>
      <w:r w:rsidR="00CE7C79">
        <w:rPr>
          <w:rFonts w:cs="Arial"/>
        </w:rPr>
        <w:t> </w:t>
      </w:r>
      <w:r w:rsidRPr="00972867">
        <w:rPr>
          <w:rFonts w:cs="Arial"/>
        </w:rPr>
        <w:t>Zvýšení využití nových technologií a</w:t>
      </w:r>
      <w:r w:rsidR="00CE7C79">
        <w:rPr>
          <w:rFonts w:cs="Arial"/>
        </w:rPr>
        <w:t> </w:t>
      </w:r>
      <w:r w:rsidRPr="00972867">
        <w:rPr>
          <w:rFonts w:cs="Arial"/>
        </w:rPr>
        <w:t>digitalizace.</w:t>
      </w:r>
    </w:p>
    <w:p w14:paraId="0D545EEE" w14:textId="77777777" w:rsidR="00C17226" w:rsidRPr="00972867" w:rsidRDefault="00C17226" w:rsidP="002E1B59">
      <w:pPr>
        <w:keepNext/>
        <w:spacing w:after="120"/>
        <w:jc w:val="both"/>
        <w:rPr>
          <w:rFonts w:asciiTheme="majorHAnsi" w:hAnsiTheme="majorHAnsi"/>
          <w:b/>
        </w:rPr>
      </w:pPr>
      <w:r w:rsidRPr="00972867">
        <w:rPr>
          <w:rFonts w:asciiTheme="majorHAnsi" w:hAnsiTheme="majorHAnsi"/>
          <w:b/>
          <w:u w:val="single"/>
        </w:rPr>
        <w:t>Cíle Programu</w:t>
      </w:r>
      <w:r w:rsidRPr="00972867">
        <w:rPr>
          <w:rFonts w:asciiTheme="majorHAnsi" w:hAnsiTheme="majorHAnsi"/>
          <w:b/>
        </w:rPr>
        <w:t>:</w:t>
      </w:r>
    </w:p>
    <w:p w14:paraId="6ECD068E" w14:textId="40B1D323" w:rsidR="00CE2034" w:rsidRPr="00CE2034" w:rsidRDefault="00CE2034" w:rsidP="002E1B59">
      <w:pPr>
        <w:spacing w:after="120"/>
        <w:jc w:val="both"/>
        <w:rPr>
          <w:rFonts w:cs="Arial"/>
        </w:rPr>
      </w:pPr>
      <w:r w:rsidRPr="00972867">
        <w:rPr>
          <w:rFonts w:cs="Arial"/>
        </w:rPr>
        <w:t xml:space="preserve">Hlavním cílem </w:t>
      </w:r>
      <w:r w:rsidR="00F72B3A">
        <w:rPr>
          <w:rFonts w:cs="Arial"/>
        </w:rPr>
        <w:t>P</w:t>
      </w:r>
      <w:r w:rsidRPr="00972867">
        <w:rPr>
          <w:rFonts w:cs="Arial"/>
        </w:rPr>
        <w:t xml:space="preserve">rogramu je </w:t>
      </w:r>
      <w:r w:rsidRPr="00972867">
        <w:rPr>
          <w:rFonts w:cs="Arial"/>
          <w:u w:val="single"/>
        </w:rPr>
        <w:t>zvýšení mezinárodní konkurenceschopnosti podniků, především rozšířením jejich trhů v</w:t>
      </w:r>
      <w:r w:rsidR="00CE7C79">
        <w:rPr>
          <w:rFonts w:cs="Arial"/>
          <w:u w:val="single"/>
        </w:rPr>
        <w:t> </w:t>
      </w:r>
      <w:r w:rsidRPr="00972867">
        <w:rPr>
          <w:rFonts w:cs="Arial"/>
          <w:u w:val="single"/>
        </w:rPr>
        <w:t xml:space="preserve">zahraničí, </w:t>
      </w:r>
      <w:r w:rsidRPr="00E27B7D">
        <w:rPr>
          <w:rFonts w:cs="Arial"/>
          <w:u w:val="single"/>
        </w:rPr>
        <w:t>pronikáním na trhy nové či posunem výše v</w:t>
      </w:r>
      <w:r w:rsidR="00CE7C79">
        <w:rPr>
          <w:rFonts w:cs="Arial"/>
          <w:u w:val="single"/>
        </w:rPr>
        <w:t> </w:t>
      </w:r>
      <w:r w:rsidRPr="00E27B7D">
        <w:rPr>
          <w:rFonts w:cs="Arial"/>
          <w:u w:val="single"/>
        </w:rPr>
        <w:t>globálních hodnotových řetězcích</w:t>
      </w:r>
      <w:r w:rsidRPr="00CE2034">
        <w:rPr>
          <w:rFonts w:cs="Arial"/>
        </w:rPr>
        <w:t xml:space="preserve">. Hlavního cíle </w:t>
      </w:r>
      <w:r>
        <w:rPr>
          <w:rFonts w:cs="Arial"/>
        </w:rPr>
        <w:t xml:space="preserve">je </w:t>
      </w:r>
      <w:r w:rsidRPr="00CE2034">
        <w:rPr>
          <w:rFonts w:cs="Arial"/>
        </w:rPr>
        <w:t>dosa</w:t>
      </w:r>
      <w:r>
        <w:rPr>
          <w:rFonts w:cs="Arial"/>
        </w:rPr>
        <w:t>hováno</w:t>
      </w:r>
      <w:r w:rsidRPr="00CE2034">
        <w:rPr>
          <w:rFonts w:cs="Arial"/>
        </w:rPr>
        <w:t xml:space="preserve"> prostřednictvím podpory projektů průmyslového výzkumu a</w:t>
      </w:r>
      <w:r w:rsidR="00CE7C79">
        <w:rPr>
          <w:rFonts w:cs="Arial"/>
        </w:rPr>
        <w:t> </w:t>
      </w:r>
      <w:r w:rsidRPr="00CE2034">
        <w:rPr>
          <w:rFonts w:cs="Arial"/>
        </w:rPr>
        <w:t>experimentálního vývoje a</w:t>
      </w:r>
      <w:r w:rsidR="00CE7C79">
        <w:rPr>
          <w:rFonts w:cs="Arial"/>
        </w:rPr>
        <w:t> </w:t>
      </w:r>
      <w:r w:rsidRPr="00CE2034">
        <w:rPr>
          <w:rFonts w:cs="Arial"/>
        </w:rPr>
        <w:t>zavedením jejich výsledků do praxe, zejména do průmyslové výroby a</w:t>
      </w:r>
      <w:r w:rsidR="00CE7C79">
        <w:rPr>
          <w:rFonts w:cs="Arial"/>
        </w:rPr>
        <w:t> </w:t>
      </w:r>
      <w:r w:rsidRPr="00CE2034">
        <w:rPr>
          <w:rFonts w:cs="Arial"/>
        </w:rPr>
        <w:t>do nabídky produktů na trhu. V</w:t>
      </w:r>
      <w:r w:rsidR="00CE7C79">
        <w:rPr>
          <w:rFonts w:cs="Arial"/>
        </w:rPr>
        <w:t> </w:t>
      </w:r>
      <w:r w:rsidRPr="00CE2034">
        <w:rPr>
          <w:rFonts w:cs="Arial"/>
        </w:rPr>
        <w:t>souladu s</w:t>
      </w:r>
      <w:r w:rsidR="00CE7C79">
        <w:rPr>
          <w:rFonts w:cs="Arial"/>
        </w:rPr>
        <w:t> </w:t>
      </w:r>
      <w:r w:rsidRPr="00CE2034">
        <w:rPr>
          <w:rFonts w:cs="Arial"/>
        </w:rPr>
        <w:t xml:space="preserve">dále popsaným zaměřením </w:t>
      </w:r>
      <w:r>
        <w:rPr>
          <w:rFonts w:cs="Arial"/>
        </w:rPr>
        <w:t>jsou</w:t>
      </w:r>
      <w:r w:rsidRPr="00CE2034">
        <w:rPr>
          <w:rFonts w:cs="Arial"/>
        </w:rPr>
        <w:t xml:space="preserve"> podporovány především projekty rozvíjející nové technologie a</w:t>
      </w:r>
      <w:r w:rsidR="00CE7C79">
        <w:rPr>
          <w:rFonts w:cs="Arial"/>
        </w:rPr>
        <w:t> </w:t>
      </w:r>
      <w:r w:rsidRPr="00CE2034">
        <w:rPr>
          <w:rFonts w:cs="Arial"/>
        </w:rPr>
        <w:t>materiály, zvyšující míru automatizace a</w:t>
      </w:r>
      <w:r w:rsidR="00CE7C79">
        <w:rPr>
          <w:rFonts w:cs="Arial"/>
        </w:rPr>
        <w:t> </w:t>
      </w:r>
      <w:r w:rsidRPr="00CE2034">
        <w:rPr>
          <w:rFonts w:cs="Arial"/>
        </w:rPr>
        <w:t>robotizace a</w:t>
      </w:r>
      <w:r w:rsidR="00CE7C79">
        <w:rPr>
          <w:rFonts w:cs="Arial"/>
        </w:rPr>
        <w:t> </w:t>
      </w:r>
      <w:r w:rsidRPr="00CE2034">
        <w:rPr>
          <w:rFonts w:cs="Arial"/>
        </w:rPr>
        <w:t>využití digitálních technologií.</w:t>
      </w:r>
    </w:p>
    <w:p w14:paraId="4A817663" w14:textId="62B936D7" w:rsidR="00CE2034" w:rsidRPr="00CE2034" w:rsidRDefault="00CE2034" w:rsidP="002E1B59">
      <w:pPr>
        <w:spacing w:after="120"/>
        <w:jc w:val="both"/>
        <w:rPr>
          <w:rFonts w:cs="Arial"/>
        </w:rPr>
      </w:pPr>
      <w:r w:rsidRPr="00CE2034">
        <w:rPr>
          <w:rFonts w:cs="Arial"/>
        </w:rPr>
        <w:t>Vedlejšími cíli, které specifickým způsobem přisp</w:t>
      </w:r>
      <w:r>
        <w:rPr>
          <w:rFonts w:cs="Arial"/>
        </w:rPr>
        <w:t>ívají</w:t>
      </w:r>
      <w:r w:rsidRPr="00CE2034">
        <w:rPr>
          <w:rFonts w:cs="Arial"/>
        </w:rPr>
        <w:t xml:space="preserve"> k</w:t>
      </w:r>
      <w:r w:rsidR="00CE7C79">
        <w:rPr>
          <w:rFonts w:cs="Arial"/>
        </w:rPr>
        <w:t> </w:t>
      </w:r>
      <w:r w:rsidRPr="00CE2034">
        <w:rPr>
          <w:rFonts w:cs="Arial"/>
        </w:rPr>
        <w:t xml:space="preserve">naplnění hlavního cíle, </w:t>
      </w:r>
      <w:r>
        <w:rPr>
          <w:rFonts w:cs="Arial"/>
        </w:rPr>
        <w:t>jsou</w:t>
      </w:r>
    </w:p>
    <w:p w14:paraId="63A79718" w14:textId="51B9E692" w:rsidR="00CE2034" w:rsidRPr="00CE2034" w:rsidRDefault="00CE2034" w:rsidP="002E1B59">
      <w:pPr>
        <w:pStyle w:val="Odstavecseseznamem"/>
        <w:numPr>
          <w:ilvl w:val="0"/>
          <w:numId w:val="12"/>
        </w:numPr>
        <w:spacing w:after="120"/>
        <w:contextualSpacing w:val="0"/>
        <w:jc w:val="both"/>
        <w:rPr>
          <w:rFonts w:cs="Arial"/>
        </w:rPr>
      </w:pPr>
      <w:r w:rsidRPr="00E27B7D">
        <w:rPr>
          <w:rFonts w:cs="Arial"/>
          <w:u w:val="single"/>
        </w:rPr>
        <w:t>zvýšení počtu podniků provádějících vlastní výzkumné a</w:t>
      </w:r>
      <w:r w:rsidR="00CE7C79">
        <w:rPr>
          <w:rFonts w:cs="Arial"/>
          <w:u w:val="single"/>
        </w:rPr>
        <w:t> </w:t>
      </w:r>
      <w:r w:rsidRPr="00E27B7D">
        <w:rPr>
          <w:rFonts w:cs="Arial"/>
          <w:u w:val="single"/>
        </w:rPr>
        <w:t>vývojové aktivity</w:t>
      </w:r>
      <w:r w:rsidRPr="00CE2034">
        <w:rPr>
          <w:rFonts w:cs="Arial"/>
        </w:rPr>
        <w:t xml:space="preserve"> a</w:t>
      </w:r>
      <w:r w:rsidR="00CE7C79">
        <w:rPr>
          <w:rFonts w:cs="Arial"/>
        </w:rPr>
        <w:t> </w:t>
      </w:r>
      <w:r w:rsidRPr="00CE2034">
        <w:rPr>
          <w:rFonts w:cs="Arial"/>
        </w:rPr>
        <w:t>jejich zapojení do</w:t>
      </w:r>
      <w:r>
        <w:rPr>
          <w:rFonts w:cs="Arial"/>
        </w:rPr>
        <w:t> </w:t>
      </w:r>
      <w:r w:rsidRPr="00CE2034">
        <w:rPr>
          <w:rFonts w:cs="Arial"/>
        </w:rPr>
        <w:t>realizace kolaborativního výzkumu,</w:t>
      </w:r>
    </w:p>
    <w:p w14:paraId="2F5C5979" w14:textId="62DF6EF1" w:rsidR="00CE2034" w:rsidRPr="00CE2034" w:rsidRDefault="00CE2034" w:rsidP="002E1B59">
      <w:pPr>
        <w:pStyle w:val="Odstavecseseznamem"/>
        <w:numPr>
          <w:ilvl w:val="0"/>
          <w:numId w:val="12"/>
        </w:numPr>
        <w:spacing w:after="120"/>
        <w:contextualSpacing w:val="0"/>
        <w:jc w:val="both"/>
        <w:rPr>
          <w:rFonts w:cs="Arial"/>
        </w:rPr>
      </w:pPr>
      <w:r w:rsidRPr="00E27B7D">
        <w:rPr>
          <w:rFonts w:cs="Arial"/>
          <w:u w:val="single"/>
        </w:rPr>
        <w:t>posílení orientace výzkumných organizací v</w:t>
      </w:r>
      <w:r w:rsidR="00CE7C79">
        <w:rPr>
          <w:rFonts w:cs="Arial"/>
          <w:u w:val="single"/>
        </w:rPr>
        <w:t> </w:t>
      </w:r>
      <w:r w:rsidRPr="00E27B7D">
        <w:rPr>
          <w:rFonts w:cs="Arial"/>
          <w:u w:val="single"/>
        </w:rPr>
        <w:t>ČR na mezinárodně konkurenceschopný aplikovaný výzkum s</w:t>
      </w:r>
      <w:r w:rsidR="00CE7C79">
        <w:rPr>
          <w:rFonts w:cs="Arial"/>
          <w:u w:val="single"/>
        </w:rPr>
        <w:t> </w:t>
      </w:r>
      <w:r w:rsidRPr="00E27B7D">
        <w:rPr>
          <w:rFonts w:cs="Arial"/>
          <w:u w:val="single"/>
        </w:rPr>
        <w:t>přínosy pro průmysl a</w:t>
      </w:r>
      <w:r w:rsidR="00CE7C79">
        <w:rPr>
          <w:rFonts w:cs="Arial"/>
          <w:u w:val="single"/>
        </w:rPr>
        <w:t> </w:t>
      </w:r>
      <w:r w:rsidRPr="00E27B7D">
        <w:rPr>
          <w:rFonts w:cs="Arial"/>
          <w:u w:val="single"/>
        </w:rPr>
        <w:t>společnost</w:t>
      </w:r>
      <w:r w:rsidRPr="00CE2034">
        <w:rPr>
          <w:rFonts w:cs="Arial"/>
        </w:rPr>
        <w:t>.</w:t>
      </w:r>
    </w:p>
    <w:p w14:paraId="04E14410" w14:textId="45DE0256" w:rsidR="00CE2034" w:rsidRPr="00CE2034" w:rsidRDefault="00CE2034" w:rsidP="002E1B59">
      <w:pPr>
        <w:spacing w:after="120"/>
        <w:jc w:val="both"/>
        <w:rPr>
          <w:rFonts w:cs="Arial"/>
        </w:rPr>
      </w:pPr>
      <w:r w:rsidRPr="00CE2034">
        <w:rPr>
          <w:rFonts w:cs="Arial"/>
        </w:rPr>
        <w:t>Dílčími cíli, které jsou zaměřeny na preferované obory a</w:t>
      </w:r>
      <w:r w:rsidR="00CE7C79">
        <w:rPr>
          <w:rFonts w:cs="Arial"/>
        </w:rPr>
        <w:t> </w:t>
      </w:r>
      <w:r w:rsidRPr="00CE2034">
        <w:rPr>
          <w:rFonts w:cs="Arial"/>
        </w:rPr>
        <w:t>oblasti identifikované v</w:t>
      </w:r>
      <w:r w:rsidR="00CE7C79">
        <w:rPr>
          <w:rFonts w:cs="Arial"/>
        </w:rPr>
        <w:t> </w:t>
      </w:r>
      <w:r w:rsidRPr="00CE2034">
        <w:rPr>
          <w:rFonts w:cs="Arial"/>
        </w:rPr>
        <w:t>relevantních koncepčních dokumentech a</w:t>
      </w:r>
      <w:r w:rsidR="00CE7C79">
        <w:rPr>
          <w:rFonts w:cs="Arial"/>
        </w:rPr>
        <w:t> </w:t>
      </w:r>
      <w:r w:rsidRPr="00CE2034">
        <w:rPr>
          <w:rFonts w:cs="Arial"/>
        </w:rPr>
        <w:t>strategiích, je podpořit:</w:t>
      </w:r>
    </w:p>
    <w:p w14:paraId="50FCC9C4" w14:textId="050DA024" w:rsidR="00CE2034" w:rsidRPr="00CE2034" w:rsidRDefault="00CE2034" w:rsidP="002E1B59">
      <w:pPr>
        <w:pStyle w:val="Odstavecseseznamem"/>
        <w:numPr>
          <w:ilvl w:val="0"/>
          <w:numId w:val="11"/>
        </w:numPr>
        <w:spacing w:after="120"/>
        <w:contextualSpacing w:val="0"/>
        <w:jc w:val="both"/>
        <w:rPr>
          <w:rFonts w:cs="Arial"/>
        </w:rPr>
      </w:pPr>
      <w:r w:rsidRPr="00CE2034">
        <w:rPr>
          <w:rFonts w:cs="Arial"/>
        </w:rPr>
        <w:t>Zvýšení využití moderních způsobů výroby, jejího plánování, řízení a</w:t>
      </w:r>
      <w:r w:rsidR="00CE7C79">
        <w:rPr>
          <w:rFonts w:cs="Arial"/>
        </w:rPr>
        <w:t> </w:t>
      </w:r>
      <w:r w:rsidRPr="00CE2034">
        <w:rPr>
          <w:rFonts w:cs="Arial"/>
        </w:rPr>
        <w:t>distribuce produktů podle principů iniciativy Průmysl 4.0.</w:t>
      </w:r>
    </w:p>
    <w:p w14:paraId="7C32D7B9" w14:textId="4FACC969" w:rsidR="00CE2034" w:rsidRPr="00CE2034" w:rsidRDefault="00CE2034" w:rsidP="002E1B59">
      <w:pPr>
        <w:pStyle w:val="Odstavecseseznamem"/>
        <w:numPr>
          <w:ilvl w:val="0"/>
          <w:numId w:val="11"/>
        </w:numPr>
        <w:spacing w:after="120"/>
        <w:contextualSpacing w:val="0"/>
        <w:jc w:val="both"/>
        <w:rPr>
          <w:rFonts w:cs="Arial"/>
        </w:rPr>
      </w:pPr>
      <w:r w:rsidRPr="00CE2034">
        <w:rPr>
          <w:rFonts w:cs="Arial"/>
        </w:rPr>
        <w:t>Rozvoj nových oblastí digitalizace a</w:t>
      </w:r>
      <w:r w:rsidR="00CE7C79">
        <w:rPr>
          <w:rFonts w:cs="Arial"/>
        </w:rPr>
        <w:t> </w:t>
      </w:r>
      <w:r w:rsidRPr="00CE2034">
        <w:rPr>
          <w:rFonts w:cs="Arial"/>
        </w:rPr>
        <w:t>její využití v</w:t>
      </w:r>
      <w:r w:rsidR="00CE7C79">
        <w:rPr>
          <w:rFonts w:cs="Arial"/>
        </w:rPr>
        <w:t> </w:t>
      </w:r>
      <w:r w:rsidRPr="00CE2034">
        <w:rPr>
          <w:rFonts w:cs="Arial"/>
        </w:rPr>
        <w:t>průmyslu a</w:t>
      </w:r>
      <w:r w:rsidR="00CE7C79">
        <w:rPr>
          <w:rFonts w:cs="Arial"/>
        </w:rPr>
        <w:t> </w:t>
      </w:r>
      <w:r w:rsidRPr="00CE2034">
        <w:rPr>
          <w:rFonts w:cs="Arial"/>
        </w:rPr>
        <w:t>službách.</w:t>
      </w:r>
    </w:p>
    <w:p w14:paraId="0F3171B5" w14:textId="4FBF1C62" w:rsidR="00CE2034" w:rsidRPr="00CE2034" w:rsidRDefault="00CE2034" w:rsidP="002E1B59">
      <w:pPr>
        <w:pStyle w:val="Odstavecseseznamem"/>
        <w:numPr>
          <w:ilvl w:val="0"/>
          <w:numId w:val="11"/>
        </w:numPr>
        <w:spacing w:after="120"/>
        <w:contextualSpacing w:val="0"/>
        <w:jc w:val="both"/>
        <w:rPr>
          <w:rFonts w:cs="Arial"/>
        </w:rPr>
      </w:pPr>
      <w:r w:rsidRPr="00CE2034">
        <w:rPr>
          <w:rFonts w:cs="Arial"/>
        </w:rPr>
        <w:t>Využití nových technologií v</w:t>
      </w:r>
      <w:r w:rsidR="00CE7C79">
        <w:rPr>
          <w:rFonts w:cs="Arial"/>
        </w:rPr>
        <w:t> </w:t>
      </w:r>
      <w:r w:rsidRPr="00CE2034">
        <w:rPr>
          <w:rFonts w:cs="Arial"/>
        </w:rPr>
        <w:t>Automotive a</w:t>
      </w:r>
      <w:r w:rsidR="00CE7C79">
        <w:rPr>
          <w:rFonts w:cs="Arial"/>
        </w:rPr>
        <w:t> </w:t>
      </w:r>
      <w:r w:rsidRPr="00CE2034">
        <w:rPr>
          <w:rFonts w:cs="Arial"/>
        </w:rPr>
        <w:t>dalších klíčových aplikačních odvětvích identifikovaných strategickými dokumenty a</w:t>
      </w:r>
      <w:r w:rsidR="00CE7C79">
        <w:rPr>
          <w:rFonts w:cs="Arial"/>
        </w:rPr>
        <w:t> </w:t>
      </w:r>
      <w:r w:rsidRPr="00CE2034">
        <w:rPr>
          <w:rFonts w:cs="Arial"/>
        </w:rPr>
        <w:t>iniciativami ČR a</w:t>
      </w:r>
      <w:r w:rsidR="00CE7C79">
        <w:rPr>
          <w:rFonts w:cs="Arial"/>
        </w:rPr>
        <w:t> </w:t>
      </w:r>
      <w:r w:rsidRPr="00CE2034">
        <w:rPr>
          <w:rFonts w:cs="Arial"/>
        </w:rPr>
        <w:t>EU.</w:t>
      </w:r>
    </w:p>
    <w:p w14:paraId="7ADE080F" w14:textId="7971938A" w:rsidR="00CE2034" w:rsidRPr="00CE2034" w:rsidRDefault="00CE2034" w:rsidP="002E1B59">
      <w:pPr>
        <w:pStyle w:val="Odstavecseseznamem"/>
        <w:numPr>
          <w:ilvl w:val="0"/>
          <w:numId w:val="11"/>
        </w:numPr>
        <w:spacing w:after="120"/>
        <w:contextualSpacing w:val="0"/>
        <w:jc w:val="both"/>
        <w:rPr>
          <w:rFonts w:cs="Arial"/>
        </w:rPr>
      </w:pPr>
      <w:r w:rsidRPr="00CE2034">
        <w:rPr>
          <w:rFonts w:cs="Arial"/>
        </w:rPr>
        <w:t>Aplikaci principů oběhového hospodářství zaváděním inovací v</w:t>
      </w:r>
      <w:r w:rsidR="00CE7C79">
        <w:rPr>
          <w:rFonts w:cs="Arial"/>
        </w:rPr>
        <w:t> </w:t>
      </w:r>
      <w:r w:rsidRPr="00CE2034">
        <w:rPr>
          <w:rFonts w:cs="Arial"/>
        </w:rPr>
        <w:t>oblastech získávání druhotných surovin plnohodnotně využitelných v</w:t>
      </w:r>
      <w:r w:rsidR="00CE7C79">
        <w:rPr>
          <w:rFonts w:cs="Arial"/>
        </w:rPr>
        <w:t> </w:t>
      </w:r>
      <w:r w:rsidRPr="00CE2034">
        <w:rPr>
          <w:rFonts w:cs="Arial"/>
        </w:rPr>
        <w:t>průmyslu a</w:t>
      </w:r>
      <w:r w:rsidR="00CE7C79">
        <w:rPr>
          <w:rFonts w:cs="Arial"/>
        </w:rPr>
        <w:t> </w:t>
      </w:r>
      <w:r w:rsidRPr="00CE2034">
        <w:rPr>
          <w:rFonts w:cs="Arial"/>
        </w:rPr>
        <w:t>stavebnictví.</w:t>
      </w:r>
    </w:p>
    <w:p w14:paraId="1CC73E41" w14:textId="7010AC20" w:rsidR="00CE2034" w:rsidRDefault="00CE2034" w:rsidP="002E1B59">
      <w:pPr>
        <w:spacing w:after="120"/>
        <w:jc w:val="both"/>
        <w:rPr>
          <w:rFonts w:cs="Arial"/>
        </w:rPr>
      </w:pPr>
      <w:r w:rsidRPr="00CE2034">
        <w:rPr>
          <w:rFonts w:cs="Arial"/>
        </w:rPr>
        <w:t>Podpořené projekty přispíva</w:t>
      </w:r>
      <w:r>
        <w:rPr>
          <w:rFonts w:cs="Arial"/>
        </w:rPr>
        <w:t>jí</w:t>
      </w:r>
      <w:r w:rsidRPr="00CE2034">
        <w:rPr>
          <w:rFonts w:cs="Arial"/>
        </w:rPr>
        <w:t xml:space="preserve"> k</w:t>
      </w:r>
      <w:r w:rsidR="00CE7C79">
        <w:rPr>
          <w:rFonts w:cs="Arial"/>
        </w:rPr>
        <w:t> </w:t>
      </w:r>
      <w:r w:rsidRPr="00CE2034">
        <w:rPr>
          <w:rFonts w:cs="Arial"/>
        </w:rPr>
        <w:t>řešení problematiky uvedené v</w:t>
      </w:r>
      <w:r w:rsidR="00CE7C79">
        <w:rPr>
          <w:rFonts w:cs="Arial"/>
        </w:rPr>
        <w:t> </w:t>
      </w:r>
      <w:r w:rsidRPr="00CE2034">
        <w:rPr>
          <w:rFonts w:cs="Arial"/>
        </w:rPr>
        <w:t>některém z</w:t>
      </w:r>
      <w:r w:rsidR="00CE7C79">
        <w:rPr>
          <w:rFonts w:cs="Arial"/>
        </w:rPr>
        <w:t> </w:t>
      </w:r>
      <w:r w:rsidRPr="00CE2034">
        <w:rPr>
          <w:rFonts w:cs="Arial"/>
        </w:rPr>
        <w:t xml:space="preserve">dílčích cílů </w:t>
      </w:r>
      <w:r w:rsidR="00E27B7D">
        <w:rPr>
          <w:rFonts w:cs="Arial"/>
        </w:rPr>
        <w:t>NPOV</w:t>
      </w:r>
      <w:r w:rsidRPr="00CE2034">
        <w:rPr>
          <w:rFonts w:cs="Arial"/>
        </w:rPr>
        <w:t xml:space="preserve"> a</w:t>
      </w:r>
      <w:r w:rsidR="00CE7C79">
        <w:rPr>
          <w:rFonts w:cs="Arial"/>
        </w:rPr>
        <w:t> </w:t>
      </w:r>
      <w:r w:rsidRPr="00CE2034">
        <w:rPr>
          <w:rFonts w:cs="Arial"/>
        </w:rPr>
        <w:t>dalších relevantních inovačních strategií, včetně Strategického rámce hospodářské restrukturalizace Ústeckého, Karlovarského a</w:t>
      </w:r>
      <w:r w:rsidR="00CE7C79">
        <w:rPr>
          <w:rFonts w:cs="Arial"/>
        </w:rPr>
        <w:t> </w:t>
      </w:r>
      <w:r w:rsidRPr="00CE2034">
        <w:rPr>
          <w:rFonts w:cs="Arial"/>
        </w:rPr>
        <w:t>Moravskoslezského kraje, schváleného usnesením vlády č. 3 z</w:t>
      </w:r>
      <w:r w:rsidR="00CE7C79">
        <w:rPr>
          <w:rFonts w:cs="Arial"/>
        </w:rPr>
        <w:t> </w:t>
      </w:r>
      <w:r w:rsidRPr="00CE2034">
        <w:rPr>
          <w:rFonts w:cs="Arial"/>
        </w:rPr>
        <w:t>9. ledna 2017</w:t>
      </w:r>
      <w:r w:rsidR="00E27B7D">
        <w:rPr>
          <w:rFonts w:cs="Arial"/>
        </w:rPr>
        <w:t>,</w:t>
      </w:r>
      <w:r w:rsidRPr="00CE2034">
        <w:rPr>
          <w:rFonts w:cs="Arial"/>
        </w:rPr>
        <w:t xml:space="preserve"> a</w:t>
      </w:r>
      <w:r w:rsidR="00CE7C79">
        <w:rPr>
          <w:rFonts w:cs="Arial"/>
        </w:rPr>
        <w:t> </w:t>
      </w:r>
      <w:r w:rsidRPr="00CE2034">
        <w:rPr>
          <w:rFonts w:cs="Arial"/>
        </w:rPr>
        <w:t>navazujících akčních plánů hospodářské restrukturalizace. V</w:t>
      </w:r>
      <w:r w:rsidR="00CE7C79">
        <w:rPr>
          <w:rFonts w:cs="Arial"/>
        </w:rPr>
        <w:t> </w:t>
      </w:r>
      <w:r w:rsidRPr="00CE2034">
        <w:rPr>
          <w:rFonts w:cs="Arial"/>
        </w:rPr>
        <w:t>případě NPOV jde především o</w:t>
      </w:r>
      <w:r w:rsidR="00CE7C79">
        <w:rPr>
          <w:rFonts w:cs="Arial"/>
        </w:rPr>
        <w:t> </w:t>
      </w:r>
      <w:r w:rsidRPr="00CE2034">
        <w:rPr>
          <w:rFonts w:cs="Arial"/>
        </w:rPr>
        <w:t>cíle v</w:t>
      </w:r>
      <w:r w:rsidR="00CE7C79">
        <w:rPr>
          <w:rFonts w:cs="Arial"/>
        </w:rPr>
        <w:t> </w:t>
      </w:r>
      <w:r w:rsidRPr="00CE2034">
        <w:rPr>
          <w:rFonts w:cs="Arial"/>
        </w:rPr>
        <w:t>prioritní oblasti 1 Konkurenceschopná ekonomika založená na znalostech</w:t>
      </w:r>
      <w:r w:rsidR="00EB68ED">
        <w:rPr>
          <w:rFonts w:cs="Arial"/>
        </w:rPr>
        <w:t xml:space="preserve"> a</w:t>
      </w:r>
      <w:r w:rsidR="00CE7C79">
        <w:rPr>
          <w:rFonts w:cs="Arial"/>
        </w:rPr>
        <w:t> </w:t>
      </w:r>
      <w:r w:rsidRPr="00CE2034">
        <w:rPr>
          <w:rFonts w:cs="Arial"/>
        </w:rPr>
        <w:t>v</w:t>
      </w:r>
      <w:r w:rsidR="00C0040D">
        <w:rPr>
          <w:rFonts w:cs="Arial"/>
        </w:rPr>
        <w:t> </w:t>
      </w:r>
      <w:r w:rsidRPr="00CE2034">
        <w:rPr>
          <w:rFonts w:cs="Arial"/>
        </w:rPr>
        <w:t>prioritní oblasti 2 Udržitelnost energetiky a</w:t>
      </w:r>
      <w:r w:rsidR="00CE7C79">
        <w:rPr>
          <w:rFonts w:cs="Arial"/>
        </w:rPr>
        <w:t> </w:t>
      </w:r>
      <w:r w:rsidRPr="00CE2034">
        <w:rPr>
          <w:rFonts w:cs="Arial"/>
        </w:rPr>
        <w:t>materiálových zdrojů.</w:t>
      </w:r>
    </w:p>
    <w:p w14:paraId="2AD857CE" w14:textId="597EA549" w:rsidR="00C17226" w:rsidRPr="006C50B6" w:rsidRDefault="00C17226" w:rsidP="002E1B59">
      <w:pPr>
        <w:spacing w:after="120"/>
        <w:jc w:val="both"/>
        <w:rPr>
          <w:rFonts w:cs="Arial"/>
          <w:i/>
        </w:rPr>
      </w:pPr>
      <w:r>
        <w:rPr>
          <w:rFonts w:cs="Arial"/>
        </w:rPr>
        <w:t>Program</w:t>
      </w:r>
      <w:r w:rsidR="00E27B7D">
        <w:rPr>
          <w:rFonts w:cs="Arial"/>
        </w:rPr>
        <w:t xml:space="preserve"> přispívá ke</w:t>
      </w:r>
      <w:r w:rsidRPr="006C50B6">
        <w:rPr>
          <w:rFonts w:cs="Arial"/>
        </w:rPr>
        <w:t xml:space="preserve"> </w:t>
      </w:r>
      <w:r w:rsidRPr="00295AF1">
        <w:rPr>
          <w:rFonts w:cs="Arial"/>
          <w:u w:val="single"/>
        </w:rPr>
        <w:t>zv</w:t>
      </w:r>
      <w:r w:rsidR="00E27B7D">
        <w:rPr>
          <w:rFonts w:cs="Arial"/>
          <w:u w:val="single"/>
        </w:rPr>
        <w:t>yšování</w:t>
      </w:r>
      <w:r w:rsidRPr="00295AF1">
        <w:rPr>
          <w:rFonts w:cs="Arial"/>
          <w:u w:val="single"/>
        </w:rPr>
        <w:t xml:space="preserve"> aplikovatelnost</w:t>
      </w:r>
      <w:r w:rsidR="00E27B7D">
        <w:rPr>
          <w:rFonts w:cs="Arial"/>
          <w:u w:val="single"/>
        </w:rPr>
        <w:t>i</w:t>
      </w:r>
      <w:r w:rsidRPr="00295AF1">
        <w:rPr>
          <w:rFonts w:cs="Arial"/>
          <w:u w:val="single"/>
        </w:rPr>
        <w:t xml:space="preserve"> výsledků výzkumu a</w:t>
      </w:r>
      <w:r w:rsidR="00CE7C79">
        <w:rPr>
          <w:rFonts w:cs="Arial"/>
          <w:u w:val="single"/>
        </w:rPr>
        <w:t> </w:t>
      </w:r>
      <w:r w:rsidRPr="00295AF1">
        <w:rPr>
          <w:rFonts w:cs="Arial"/>
          <w:u w:val="single"/>
        </w:rPr>
        <w:t>vývoje</w:t>
      </w:r>
      <w:r w:rsidRPr="006C50B6">
        <w:rPr>
          <w:rFonts w:cs="Arial"/>
        </w:rPr>
        <w:t xml:space="preserve"> (dále jen „VaV“) v</w:t>
      </w:r>
      <w:r w:rsidR="00CE7C79">
        <w:rPr>
          <w:rFonts w:cs="Arial"/>
        </w:rPr>
        <w:t> </w:t>
      </w:r>
      <w:r w:rsidRPr="006C50B6">
        <w:rPr>
          <w:rFonts w:cs="Arial"/>
        </w:rPr>
        <w:t xml:space="preserve">podnikové sféře. Důraz </w:t>
      </w:r>
      <w:r w:rsidR="00295AF1">
        <w:rPr>
          <w:rFonts w:cs="Arial"/>
        </w:rPr>
        <w:t>je</w:t>
      </w:r>
      <w:r w:rsidRPr="006C50B6">
        <w:rPr>
          <w:rFonts w:cs="Arial"/>
        </w:rPr>
        <w:t xml:space="preserve"> kladen na ekonomické oblasti, ve kterých ČR disponuje významným růstovým potenciálem. Jedná se zejména o</w:t>
      </w:r>
      <w:r w:rsidR="00CE7C79">
        <w:rPr>
          <w:rFonts w:cs="Arial"/>
        </w:rPr>
        <w:t> </w:t>
      </w:r>
      <w:r w:rsidRPr="006C50B6">
        <w:rPr>
          <w:rFonts w:cs="Arial"/>
        </w:rPr>
        <w:t>výrobu dopravních prostředků, strojírenství, elektroniku a</w:t>
      </w:r>
      <w:r w:rsidR="00CE7C79">
        <w:rPr>
          <w:rFonts w:cs="Arial"/>
        </w:rPr>
        <w:t> </w:t>
      </w:r>
      <w:r w:rsidRPr="006C50B6">
        <w:rPr>
          <w:rFonts w:cs="Arial"/>
        </w:rPr>
        <w:t>elektrotechniku, IT služby a</w:t>
      </w:r>
      <w:r w:rsidR="00CE7C79">
        <w:rPr>
          <w:rFonts w:cs="Arial"/>
        </w:rPr>
        <w:t> </w:t>
      </w:r>
      <w:r w:rsidRPr="006C50B6">
        <w:rPr>
          <w:rFonts w:cs="Arial"/>
        </w:rPr>
        <w:t>software, výrobu a</w:t>
      </w:r>
      <w:r w:rsidR="00CE7C79">
        <w:rPr>
          <w:rFonts w:cs="Arial"/>
        </w:rPr>
        <w:t> </w:t>
      </w:r>
      <w:r w:rsidRPr="006C50B6">
        <w:rPr>
          <w:rFonts w:cs="Arial"/>
        </w:rPr>
        <w:t>distribuci elektrické energie a</w:t>
      </w:r>
      <w:r w:rsidR="00CE7C79">
        <w:rPr>
          <w:rFonts w:cs="Arial"/>
        </w:rPr>
        <w:t> </w:t>
      </w:r>
      <w:r w:rsidRPr="006C50B6">
        <w:rPr>
          <w:rFonts w:cs="Arial"/>
        </w:rPr>
        <w:t>léčiva a</w:t>
      </w:r>
      <w:r w:rsidR="00CE7C79">
        <w:rPr>
          <w:rFonts w:cs="Arial"/>
        </w:rPr>
        <w:t> </w:t>
      </w:r>
      <w:r w:rsidRPr="006C50B6">
        <w:rPr>
          <w:rFonts w:cs="Arial"/>
        </w:rPr>
        <w:t>zdrav</w:t>
      </w:r>
      <w:r w:rsidR="00295AF1">
        <w:rPr>
          <w:rFonts w:cs="Arial"/>
        </w:rPr>
        <w:t xml:space="preserve">otnické prostředky. </w:t>
      </w:r>
    </w:p>
    <w:p w14:paraId="39DDA323" w14:textId="12A45FD9" w:rsidR="00C17226" w:rsidRPr="00972867" w:rsidRDefault="00C17226" w:rsidP="002E1B59">
      <w:pPr>
        <w:spacing w:after="120"/>
        <w:jc w:val="both"/>
        <w:rPr>
          <w:rFonts w:cs="Arial"/>
        </w:rPr>
      </w:pPr>
      <w:r w:rsidRPr="006C50B6">
        <w:rPr>
          <w:rFonts w:cs="Arial"/>
        </w:rPr>
        <w:t xml:space="preserve">Program </w:t>
      </w:r>
      <w:r w:rsidR="00E27B7D">
        <w:rPr>
          <w:rFonts w:cs="Arial"/>
        </w:rPr>
        <w:t xml:space="preserve">rovněž </w:t>
      </w:r>
      <w:r w:rsidRPr="006C50B6">
        <w:rPr>
          <w:rFonts w:cs="Arial"/>
          <w:u w:val="single"/>
        </w:rPr>
        <w:t>pos</w:t>
      </w:r>
      <w:r w:rsidR="00E27B7D">
        <w:rPr>
          <w:rFonts w:cs="Arial"/>
          <w:u w:val="single"/>
        </w:rPr>
        <w:t>iluje</w:t>
      </w:r>
      <w:r w:rsidRPr="006C50B6">
        <w:rPr>
          <w:rFonts w:cs="Arial"/>
          <w:u w:val="single"/>
        </w:rPr>
        <w:t xml:space="preserve"> účinn</w:t>
      </w:r>
      <w:r w:rsidR="00E27B7D">
        <w:rPr>
          <w:rFonts w:cs="Arial"/>
          <w:u w:val="single"/>
        </w:rPr>
        <w:t>ou</w:t>
      </w:r>
      <w:r w:rsidRPr="006C50B6">
        <w:rPr>
          <w:rFonts w:cs="Arial"/>
          <w:u w:val="single"/>
        </w:rPr>
        <w:t xml:space="preserve"> spoluprác</w:t>
      </w:r>
      <w:r w:rsidR="00E27B7D">
        <w:rPr>
          <w:rFonts w:cs="Arial"/>
          <w:u w:val="single"/>
        </w:rPr>
        <w:t>i</w:t>
      </w:r>
      <w:r w:rsidRPr="006C50B6">
        <w:rPr>
          <w:rFonts w:cs="Arial"/>
          <w:u w:val="single"/>
        </w:rPr>
        <w:t xml:space="preserve"> ve </w:t>
      </w:r>
      <w:r w:rsidR="00E27B7D">
        <w:rPr>
          <w:rFonts w:cs="Arial"/>
          <w:u w:val="single"/>
        </w:rPr>
        <w:t>VaV</w:t>
      </w:r>
      <w:r w:rsidRPr="006C50B6">
        <w:rPr>
          <w:rFonts w:cs="Arial"/>
          <w:u w:val="single"/>
        </w:rPr>
        <w:t xml:space="preserve"> mezi podniky a</w:t>
      </w:r>
      <w:r w:rsidR="00CE7C79">
        <w:rPr>
          <w:rFonts w:cs="Arial"/>
          <w:u w:val="single"/>
        </w:rPr>
        <w:t> </w:t>
      </w:r>
      <w:r w:rsidRPr="006C50B6">
        <w:rPr>
          <w:rFonts w:cs="Arial"/>
          <w:u w:val="single"/>
        </w:rPr>
        <w:t>výzkumnými organizacemi</w:t>
      </w:r>
      <w:r w:rsidRPr="006C50B6">
        <w:rPr>
          <w:rFonts w:cs="Arial"/>
        </w:rPr>
        <w:t>, jejíž nízká intenzita patří mezi hlavní slabiny národního výzkumného systému. V</w:t>
      </w:r>
      <w:r w:rsidR="00CE7C79">
        <w:rPr>
          <w:rFonts w:cs="Arial"/>
        </w:rPr>
        <w:t> </w:t>
      </w:r>
      <w:r w:rsidRPr="006C50B6">
        <w:rPr>
          <w:rFonts w:cs="Arial"/>
        </w:rPr>
        <w:t xml:space="preserve">Programu </w:t>
      </w:r>
      <w:r>
        <w:rPr>
          <w:rFonts w:cs="Arial"/>
        </w:rPr>
        <w:t>jsou</w:t>
      </w:r>
      <w:r w:rsidRPr="006C50B6">
        <w:rPr>
          <w:rFonts w:cs="Arial"/>
        </w:rPr>
        <w:t xml:space="preserve"> podpo</w:t>
      </w:r>
      <w:r w:rsidR="00E27B7D">
        <w:rPr>
          <w:rFonts w:cs="Arial"/>
        </w:rPr>
        <w:t>rovány</w:t>
      </w:r>
      <w:r w:rsidRPr="006C50B6">
        <w:rPr>
          <w:rFonts w:cs="Arial"/>
        </w:rPr>
        <w:t xml:space="preserve"> projekty realizované ve spolupráci podniků a</w:t>
      </w:r>
      <w:r w:rsidR="00CE7C79">
        <w:rPr>
          <w:rFonts w:cs="Arial"/>
        </w:rPr>
        <w:t> </w:t>
      </w:r>
      <w:r w:rsidRPr="006C50B6">
        <w:rPr>
          <w:rFonts w:cs="Arial"/>
        </w:rPr>
        <w:t>výzkumných organizací a</w:t>
      </w:r>
      <w:r w:rsidR="00CE7C79">
        <w:rPr>
          <w:rFonts w:cs="Arial"/>
        </w:rPr>
        <w:t> </w:t>
      </w:r>
      <w:r w:rsidRPr="006C50B6">
        <w:rPr>
          <w:rFonts w:cs="Arial"/>
        </w:rPr>
        <w:t>Program tak přisp</w:t>
      </w:r>
      <w:r w:rsidR="00E27B7D">
        <w:rPr>
          <w:rFonts w:cs="Arial"/>
        </w:rPr>
        <w:t>ívá</w:t>
      </w:r>
      <w:r w:rsidRPr="006C50B6">
        <w:rPr>
          <w:rFonts w:cs="Arial"/>
        </w:rPr>
        <w:t xml:space="preserve"> ke zkvalitnění a</w:t>
      </w:r>
      <w:r w:rsidR="00CE7C79">
        <w:rPr>
          <w:rFonts w:cs="Arial"/>
        </w:rPr>
        <w:t> </w:t>
      </w:r>
      <w:r w:rsidRPr="006C50B6">
        <w:rPr>
          <w:rFonts w:cs="Arial"/>
        </w:rPr>
        <w:t>rozvoji ino</w:t>
      </w:r>
      <w:r w:rsidRPr="00972867">
        <w:rPr>
          <w:rFonts w:cs="Arial"/>
        </w:rPr>
        <w:t>vační poptávky podniků a</w:t>
      </w:r>
      <w:r w:rsidR="00CE7C79">
        <w:rPr>
          <w:rFonts w:cs="Arial"/>
        </w:rPr>
        <w:t> </w:t>
      </w:r>
      <w:r w:rsidRPr="00972867">
        <w:rPr>
          <w:rFonts w:cs="Arial"/>
        </w:rPr>
        <w:t>zvýšení relevance a</w:t>
      </w:r>
      <w:r w:rsidR="00CE7C79">
        <w:rPr>
          <w:rFonts w:cs="Arial"/>
        </w:rPr>
        <w:t> </w:t>
      </w:r>
      <w:r w:rsidRPr="00972867">
        <w:rPr>
          <w:rFonts w:cs="Arial"/>
        </w:rPr>
        <w:t>aplikačního potenciálu výsledků výzkumných organizací.</w:t>
      </w:r>
    </w:p>
    <w:p w14:paraId="741CE147" w14:textId="7A793F17" w:rsidR="007C1274" w:rsidRDefault="007C1274" w:rsidP="0062002C">
      <w:pPr>
        <w:keepNext/>
        <w:spacing w:after="120"/>
        <w:jc w:val="both"/>
        <w:rPr>
          <w:rFonts w:asciiTheme="majorHAnsi" w:hAnsiTheme="majorHAnsi" w:cs="Arial"/>
        </w:rPr>
      </w:pPr>
      <w:r w:rsidRPr="007C1274">
        <w:rPr>
          <w:rFonts w:asciiTheme="majorHAnsi" w:hAnsiTheme="majorHAnsi" w:cs="Arial"/>
        </w:rPr>
        <w:lastRenderedPageBreak/>
        <w:t xml:space="preserve">Cíle Programu </w:t>
      </w:r>
      <w:r>
        <w:rPr>
          <w:rFonts w:asciiTheme="majorHAnsi" w:hAnsiTheme="majorHAnsi" w:cs="Arial"/>
        </w:rPr>
        <w:t xml:space="preserve">jsou </w:t>
      </w:r>
      <w:r w:rsidRPr="007C1274">
        <w:rPr>
          <w:rFonts w:asciiTheme="majorHAnsi" w:hAnsiTheme="majorHAnsi" w:cs="Arial"/>
        </w:rPr>
        <w:t>naplňovány ve dvou samostatných podprogramech</w:t>
      </w:r>
      <w:r>
        <w:rPr>
          <w:rFonts w:asciiTheme="majorHAnsi" w:hAnsiTheme="majorHAnsi" w:cs="Arial"/>
        </w:rPr>
        <w:t>:</w:t>
      </w:r>
    </w:p>
    <w:p w14:paraId="670CB381" w14:textId="00AD3CAF" w:rsidR="007C1274" w:rsidRPr="007C1274" w:rsidRDefault="007C1274" w:rsidP="002E1B59">
      <w:pPr>
        <w:spacing w:after="120"/>
        <w:jc w:val="both"/>
        <w:rPr>
          <w:rFonts w:asciiTheme="majorHAnsi" w:hAnsiTheme="majorHAnsi" w:cs="Arial"/>
          <w:b/>
          <w:u w:val="single"/>
        </w:rPr>
      </w:pPr>
      <w:r w:rsidRPr="007C1274">
        <w:rPr>
          <w:rFonts w:asciiTheme="majorHAnsi" w:hAnsiTheme="majorHAnsi" w:cs="Arial"/>
          <w:b/>
          <w:u w:val="single"/>
        </w:rPr>
        <w:t>Podprogram 1 „Technologičtí lídři“</w:t>
      </w:r>
      <w:r w:rsidR="00D35FC6" w:rsidRPr="00D35FC6">
        <w:rPr>
          <w:rFonts w:asciiTheme="majorHAnsi" w:hAnsiTheme="majorHAnsi" w:cs="Arial"/>
        </w:rPr>
        <w:t xml:space="preserve"> (dále jen „Lídři“)</w:t>
      </w:r>
      <w:r w:rsidRPr="00D35FC6">
        <w:rPr>
          <w:rFonts w:asciiTheme="majorHAnsi" w:hAnsiTheme="majorHAnsi" w:cs="Arial"/>
        </w:rPr>
        <w:t>:</w:t>
      </w:r>
    </w:p>
    <w:p w14:paraId="1786359E" w14:textId="5F26B1D2" w:rsidR="007C1274" w:rsidRPr="007C1274" w:rsidRDefault="007C1274" w:rsidP="002E1B59">
      <w:pPr>
        <w:spacing w:after="120"/>
        <w:jc w:val="both"/>
        <w:rPr>
          <w:rFonts w:asciiTheme="majorHAnsi" w:hAnsiTheme="majorHAnsi" w:cs="Arial"/>
        </w:rPr>
      </w:pPr>
      <w:r w:rsidRPr="007C1274">
        <w:rPr>
          <w:rFonts w:asciiTheme="majorHAnsi" w:hAnsiTheme="majorHAnsi" w:cs="Arial"/>
        </w:rPr>
        <w:t>V souladu s</w:t>
      </w:r>
      <w:r w:rsidR="00CE7C79">
        <w:rPr>
          <w:rFonts w:asciiTheme="majorHAnsi" w:hAnsiTheme="majorHAnsi" w:cs="Arial"/>
        </w:rPr>
        <w:t> </w:t>
      </w:r>
      <w:r w:rsidRPr="007C1274">
        <w:rPr>
          <w:rFonts w:asciiTheme="majorHAnsi" w:hAnsiTheme="majorHAnsi" w:cs="Arial"/>
        </w:rPr>
        <w:t>cíli Programu se podprogram 1 zaměř</w:t>
      </w:r>
      <w:r>
        <w:rPr>
          <w:rFonts w:asciiTheme="majorHAnsi" w:hAnsiTheme="majorHAnsi" w:cs="Arial"/>
        </w:rPr>
        <w:t>uje</w:t>
      </w:r>
      <w:r w:rsidRPr="007C1274">
        <w:rPr>
          <w:rFonts w:asciiTheme="majorHAnsi" w:hAnsiTheme="majorHAnsi" w:cs="Arial"/>
        </w:rPr>
        <w:t xml:space="preserve"> na podporu tvorby výsledků VaV a</w:t>
      </w:r>
      <w:r w:rsidR="00CE7C79">
        <w:rPr>
          <w:rFonts w:asciiTheme="majorHAnsi" w:hAnsiTheme="majorHAnsi" w:cs="Arial"/>
        </w:rPr>
        <w:t> </w:t>
      </w:r>
      <w:r w:rsidRPr="007C1274">
        <w:rPr>
          <w:rFonts w:asciiTheme="majorHAnsi" w:hAnsiTheme="majorHAnsi" w:cs="Arial"/>
        </w:rPr>
        <w:t>jejich využívání pro vlastní podnikatelskou činnost (zejména pro zefektivnění výroby, zavádění nových výrobků či služeb)</w:t>
      </w:r>
      <w:r>
        <w:rPr>
          <w:rFonts w:asciiTheme="majorHAnsi" w:hAnsiTheme="majorHAnsi" w:cs="Arial"/>
        </w:rPr>
        <w:t xml:space="preserve">. </w:t>
      </w:r>
      <w:r w:rsidRPr="007C1274">
        <w:rPr>
          <w:rFonts w:asciiTheme="majorHAnsi" w:hAnsiTheme="majorHAnsi" w:cs="Arial"/>
        </w:rPr>
        <w:t>Záměrem podprogramu je u</w:t>
      </w:r>
      <w:r w:rsidR="00CE7C79">
        <w:rPr>
          <w:rFonts w:asciiTheme="majorHAnsi" w:hAnsiTheme="majorHAnsi" w:cs="Arial"/>
        </w:rPr>
        <w:t> </w:t>
      </w:r>
      <w:r w:rsidR="00760F00">
        <w:rPr>
          <w:rFonts w:asciiTheme="majorHAnsi" w:hAnsiTheme="majorHAnsi" w:cs="Arial"/>
        </w:rPr>
        <w:t>příjemců</w:t>
      </w:r>
      <w:r w:rsidRPr="007C1274">
        <w:rPr>
          <w:rFonts w:asciiTheme="majorHAnsi" w:hAnsiTheme="majorHAnsi" w:cs="Arial"/>
        </w:rPr>
        <w:t>:</w:t>
      </w:r>
    </w:p>
    <w:p w14:paraId="12C3BF40" w14:textId="22E663E8" w:rsidR="007C1274" w:rsidRPr="007C1274" w:rsidRDefault="007C1274" w:rsidP="002E1B59">
      <w:pPr>
        <w:pStyle w:val="Odstavecseseznamem"/>
        <w:numPr>
          <w:ilvl w:val="0"/>
          <w:numId w:val="13"/>
        </w:numPr>
        <w:spacing w:after="120"/>
        <w:contextualSpacing w:val="0"/>
        <w:jc w:val="both"/>
        <w:rPr>
          <w:rFonts w:asciiTheme="majorHAnsi" w:hAnsiTheme="majorHAnsi" w:cs="Arial"/>
        </w:rPr>
      </w:pPr>
      <w:r w:rsidRPr="007C1274">
        <w:rPr>
          <w:rFonts w:asciiTheme="majorHAnsi" w:hAnsiTheme="majorHAnsi" w:cs="Arial"/>
        </w:rPr>
        <w:t>Podpořit jejich vlastní výzkumně-vývojovou činnost, s</w:t>
      </w:r>
      <w:r w:rsidR="00CE7C79">
        <w:rPr>
          <w:rFonts w:asciiTheme="majorHAnsi" w:hAnsiTheme="majorHAnsi" w:cs="Arial"/>
        </w:rPr>
        <w:t> </w:t>
      </w:r>
      <w:r w:rsidRPr="007C1274">
        <w:rPr>
          <w:rFonts w:asciiTheme="majorHAnsi" w:hAnsiTheme="majorHAnsi" w:cs="Arial"/>
        </w:rPr>
        <w:t>důrazem na aplikační potenciál výsledk</w:t>
      </w:r>
      <w:r w:rsidR="00002920">
        <w:rPr>
          <w:rFonts w:asciiTheme="majorHAnsi" w:hAnsiTheme="majorHAnsi" w:cs="Arial"/>
        </w:rPr>
        <w:t>ů.</w:t>
      </w:r>
    </w:p>
    <w:p w14:paraId="3FED9DD1" w14:textId="2C7B7FD3" w:rsidR="007C1274" w:rsidRPr="007C1274" w:rsidRDefault="007C1274" w:rsidP="002E1B59">
      <w:pPr>
        <w:pStyle w:val="Odstavecseseznamem"/>
        <w:numPr>
          <w:ilvl w:val="0"/>
          <w:numId w:val="13"/>
        </w:numPr>
        <w:spacing w:after="120"/>
        <w:contextualSpacing w:val="0"/>
        <w:jc w:val="both"/>
        <w:rPr>
          <w:rFonts w:asciiTheme="majorHAnsi" w:hAnsiTheme="majorHAnsi" w:cs="Arial"/>
        </w:rPr>
      </w:pPr>
      <w:r w:rsidRPr="007C1274">
        <w:rPr>
          <w:rFonts w:asciiTheme="majorHAnsi" w:hAnsiTheme="majorHAnsi" w:cs="Arial"/>
        </w:rPr>
        <w:t>Podpořit rovněž jejich spolupráci s</w:t>
      </w:r>
      <w:r w:rsidR="00CE7C79">
        <w:rPr>
          <w:rFonts w:asciiTheme="majorHAnsi" w:hAnsiTheme="majorHAnsi" w:cs="Arial"/>
        </w:rPr>
        <w:t> </w:t>
      </w:r>
      <w:r w:rsidRPr="007C1274">
        <w:rPr>
          <w:rFonts w:asciiTheme="majorHAnsi" w:hAnsiTheme="majorHAnsi" w:cs="Arial"/>
        </w:rPr>
        <w:t>výzkumnými organizacemi, pokud to charakter projektu vyžaduje. Nepřímým efektem podprogramu by pak mělo být zvýšení objemu finančních prostředků plynoucích do sektoru výzkumných organizací z</w:t>
      </w:r>
      <w:r w:rsidR="00CE7C79">
        <w:rPr>
          <w:rFonts w:asciiTheme="majorHAnsi" w:hAnsiTheme="majorHAnsi" w:cs="Arial"/>
        </w:rPr>
        <w:t> </w:t>
      </w:r>
      <w:r w:rsidRPr="007C1274">
        <w:rPr>
          <w:rFonts w:asciiTheme="majorHAnsi" w:hAnsiTheme="majorHAnsi" w:cs="Arial"/>
        </w:rPr>
        <w:t>podnikové sféry, v</w:t>
      </w:r>
      <w:r w:rsidR="00CE7C79">
        <w:rPr>
          <w:rFonts w:asciiTheme="majorHAnsi" w:hAnsiTheme="majorHAnsi" w:cs="Arial"/>
        </w:rPr>
        <w:t> </w:t>
      </w:r>
      <w:r w:rsidRPr="007C1274">
        <w:rPr>
          <w:rFonts w:asciiTheme="majorHAnsi" w:hAnsiTheme="majorHAnsi" w:cs="Arial"/>
        </w:rPr>
        <w:t>důsledku navázání nových kontaktů a</w:t>
      </w:r>
      <w:r w:rsidR="00CE7C79">
        <w:rPr>
          <w:rFonts w:asciiTheme="majorHAnsi" w:hAnsiTheme="majorHAnsi" w:cs="Arial"/>
        </w:rPr>
        <w:t> </w:t>
      </w:r>
      <w:r w:rsidRPr="007C1274">
        <w:rPr>
          <w:rFonts w:asciiTheme="majorHAnsi" w:hAnsiTheme="majorHAnsi" w:cs="Arial"/>
        </w:rPr>
        <w:t>rozvoje spolupráce mezi podniky a</w:t>
      </w:r>
      <w:r w:rsidR="00CE7C79">
        <w:rPr>
          <w:rFonts w:asciiTheme="majorHAnsi" w:hAnsiTheme="majorHAnsi" w:cs="Arial"/>
        </w:rPr>
        <w:t> </w:t>
      </w:r>
      <w:r w:rsidRPr="007C1274">
        <w:rPr>
          <w:rFonts w:asciiTheme="majorHAnsi" w:hAnsiTheme="majorHAnsi" w:cs="Arial"/>
        </w:rPr>
        <w:t>VO.</w:t>
      </w:r>
    </w:p>
    <w:p w14:paraId="5120E43F" w14:textId="64526BCC" w:rsidR="007C1274" w:rsidRDefault="007C1274" w:rsidP="002E1B59">
      <w:pPr>
        <w:spacing w:after="120"/>
        <w:jc w:val="both"/>
        <w:rPr>
          <w:rFonts w:asciiTheme="majorHAnsi" w:hAnsiTheme="majorHAnsi" w:cs="Arial"/>
        </w:rPr>
      </w:pPr>
      <w:r w:rsidRPr="007C1274">
        <w:rPr>
          <w:rFonts w:asciiTheme="majorHAnsi" w:hAnsiTheme="majorHAnsi" w:cs="Arial"/>
        </w:rPr>
        <w:t>Podpořené projekty by měly přispět k</w:t>
      </w:r>
      <w:r w:rsidR="00CE7C79">
        <w:rPr>
          <w:rFonts w:asciiTheme="majorHAnsi" w:hAnsiTheme="majorHAnsi" w:cs="Arial"/>
        </w:rPr>
        <w:t> </w:t>
      </w:r>
      <w:r w:rsidRPr="007C1274">
        <w:rPr>
          <w:rFonts w:asciiTheme="majorHAnsi" w:hAnsiTheme="majorHAnsi" w:cs="Arial"/>
        </w:rPr>
        <w:t>výraznějšímu zvýšení mezinárodní konkurenceschopnosti uchazeče, například realizací přelomových (technologicky významných) inovací umožňujících rozšířit trhy v</w:t>
      </w:r>
      <w:r w:rsidR="00CE7C79">
        <w:rPr>
          <w:rFonts w:asciiTheme="majorHAnsi" w:hAnsiTheme="majorHAnsi" w:cs="Arial"/>
        </w:rPr>
        <w:t> </w:t>
      </w:r>
      <w:r w:rsidRPr="007C1274">
        <w:rPr>
          <w:rFonts w:asciiTheme="majorHAnsi" w:hAnsiTheme="majorHAnsi" w:cs="Arial"/>
        </w:rPr>
        <w:t>zahraničí, posunout se výše v</w:t>
      </w:r>
      <w:r w:rsidR="00CE7C79">
        <w:rPr>
          <w:rFonts w:asciiTheme="majorHAnsi" w:hAnsiTheme="majorHAnsi" w:cs="Arial"/>
        </w:rPr>
        <w:t> </w:t>
      </w:r>
      <w:r w:rsidRPr="007C1274">
        <w:rPr>
          <w:rFonts w:asciiTheme="majorHAnsi" w:hAnsiTheme="majorHAnsi" w:cs="Arial"/>
        </w:rPr>
        <w:t>globálních hodnotových řetězcích apod. Viz také hodnoticí kritéria, která budou uplatněna pro výběr projektů k</w:t>
      </w:r>
      <w:r w:rsidR="00CE7C79">
        <w:rPr>
          <w:rFonts w:asciiTheme="majorHAnsi" w:hAnsiTheme="majorHAnsi" w:cs="Arial"/>
        </w:rPr>
        <w:t> </w:t>
      </w:r>
      <w:r w:rsidRPr="007C1274">
        <w:rPr>
          <w:rFonts w:asciiTheme="majorHAnsi" w:hAnsiTheme="majorHAnsi" w:cs="Arial"/>
        </w:rPr>
        <w:t>podpoře.</w:t>
      </w:r>
    </w:p>
    <w:p w14:paraId="5628213D" w14:textId="6D19049D" w:rsidR="007C1274" w:rsidRPr="007C1274" w:rsidRDefault="007C1274" w:rsidP="002E1B59">
      <w:pPr>
        <w:spacing w:after="120"/>
        <w:jc w:val="both"/>
        <w:rPr>
          <w:rFonts w:asciiTheme="majorHAnsi" w:hAnsiTheme="majorHAnsi" w:cs="Arial"/>
          <w:b/>
          <w:u w:val="single"/>
        </w:rPr>
      </w:pPr>
      <w:r w:rsidRPr="007C1274">
        <w:rPr>
          <w:rFonts w:asciiTheme="majorHAnsi" w:hAnsiTheme="majorHAnsi" w:cs="Arial"/>
          <w:b/>
          <w:u w:val="single"/>
        </w:rPr>
        <w:t>Podprogram 2 „Nováčci“</w:t>
      </w:r>
      <w:r w:rsidR="00D35FC6">
        <w:rPr>
          <w:rFonts w:asciiTheme="majorHAnsi" w:hAnsiTheme="majorHAnsi" w:cs="Arial"/>
          <w:b/>
          <w:u w:val="single"/>
        </w:rPr>
        <w:t>:</w:t>
      </w:r>
    </w:p>
    <w:p w14:paraId="1A27E0C5" w14:textId="2D706E11" w:rsidR="007C1274" w:rsidRPr="007C1274" w:rsidRDefault="007C1274" w:rsidP="002E1B59">
      <w:pPr>
        <w:spacing w:after="120"/>
        <w:jc w:val="both"/>
        <w:rPr>
          <w:rFonts w:asciiTheme="majorHAnsi" w:hAnsiTheme="majorHAnsi" w:cs="Arial"/>
        </w:rPr>
      </w:pPr>
      <w:r w:rsidRPr="007C1274">
        <w:rPr>
          <w:rFonts w:asciiTheme="majorHAnsi" w:hAnsiTheme="majorHAnsi" w:cs="Arial"/>
        </w:rPr>
        <w:t>Cílem podprogramu je nastartování vlastních výzkumných a</w:t>
      </w:r>
      <w:r w:rsidR="00CE7C79">
        <w:rPr>
          <w:rFonts w:asciiTheme="majorHAnsi" w:hAnsiTheme="majorHAnsi" w:cs="Arial"/>
        </w:rPr>
        <w:t> </w:t>
      </w:r>
      <w:r w:rsidRPr="007C1274">
        <w:rPr>
          <w:rFonts w:asciiTheme="majorHAnsi" w:hAnsiTheme="majorHAnsi" w:cs="Arial"/>
        </w:rPr>
        <w:t>vývojových aktivit u</w:t>
      </w:r>
      <w:r w:rsidR="00CE7C79">
        <w:rPr>
          <w:rFonts w:asciiTheme="majorHAnsi" w:hAnsiTheme="majorHAnsi" w:cs="Arial"/>
        </w:rPr>
        <w:t> </w:t>
      </w:r>
      <w:r w:rsidRPr="007C1274">
        <w:rPr>
          <w:rFonts w:asciiTheme="majorHAnsi" w:hAnsiTheme="majorHAnsi" w:cs="Arial"/>
        </w:rPr>
        <w:t>podniků, které doposud nerealizovaly na pravidelné bázi vlastní VaV aktivity ani nákup VaV služeb od výzkumných organizací.</w:t>
      </w:r>
      <w:r w:rsidR="00D35FC6">
        <w:rPr>
          <w:rFonts w:asciiTheme="majorHAnsi" w:hAnsiTheme="majorHAnsi" w:cs="Arial"/>
        </w:rPr>
        <w:t xml:space="preserve"> </w:t>
      </w:r>
      <w:r w:rsidRPr="007C1274">
        <w:rPr>
          <w:rFonts w:asciiTheme="majorHAnsi" w:hAnsiTheme="majorHAnsi" w:cs="Arial"/>
        </w:rPr>
        <w:t>Příjemcem podpory může být podnik, který řeší projekt ve spolupráci s</w:t>
      </w:r>
      <w:r w:rsidR="00CE7C79">
        <w:rPr>
          <w:rFonts w:asciiTheme="majorHAnsi" w:hAnsiTheme="majorHAnsi" w:cs="Arial"/>
        </w:rPr>
        <w:t> </w:t>
      </w:r>
      <w:r w:rsidR="00D35FC6">
        <w:rPr>
          <w:rFonts w:asciiTheme="majorHAnsi" w:hAnsiTheme="majorHAnsi" w:cs="Arial"/>
        </w:rPr>
        <w:t>výzkumnou organizací</w:t>
      </w:r>
      <w:r w:rsidRPr="007C1274">
        <w:rPr>
          <w:rFonts w:asciiTheme="majorHAnsi" w:hAnsiTheme="majorHAnsi" w:cs="Arial"/>
        </w:rPr>
        <w:t xml:space="preserve"> (musí jít o</w:t>
      </w:r>
      <w:r w:rsidR="00CE7C79">
        <w:rPr>
          <w:rFonts w:asciiTheme="majorHAnsi" w:hAnsiTheme="majorHAnsi" w:cs="Arial"/>
        </w:rPr>
        <w:t> </w:t>
      </w:r>
      <w:r w:rsidRPr="007C1274">
        <w:rPr>
          <w:rFonts w:asciiTheme="majorHAnsi" w:hAnsiTheme="majorHAnsi" w:cs="Arial"/>
        </w:rPr>
        <w:t>kolaborativní, nikoliv smluvní výzkum). Přitom musí prokázat, že v</w:t>
      </w:r>
      <w:r w:rsidR="00CE7C79">
        <w:rPr>
          <w:rFonts w:asciiTheme="majorHAnsi" w:hAnsiTheme="majorHAnsi" w:cs="Arial"/>
        </w:rPr>
        <w:t> </w:t>
      </w:r>
      <w:r w:rsidRPr="007C1274">
        <w:rPr>
          <w:rFonts w:asciiTheme="majorHAnsi" w:hAnsiTheme="majorHAnsi" w:cs="Arial"/>
        </w:rPr>
        <w:t>posledních pěti letech nebyl příjemcem podpory ze státního nebo jiných veřejných rozpočtů na své či nakupované činnosti výzkumu a</w:t>
      </w:r>
      <w:r w:rsidR="00CE7C79">
        <w:rPr>
          <w:rFonts w:asciiTheme="majorHAnsi" w:hAnsiTheme="majorHAnsi" w:cs="Arial"/>
        </w:rPr>
        <w:t> </w:t>
      </w:r>
      <w:r w:rsidRPr="007C1274">
        <w:rPr>
          <w:rFonts w:asciiTheme="majorHAnsi" w:hAnsiTheme="majorHAnsi" w:cs="Arial"/>
        </w:rPr>
        <w:t>vývoje v</w:t>
      </w:r>
      <w:r w:rsidR="00CE7C79">
        <w:rPr>
          <w:rFonts w:asciiTheme="majorHAnsi" w:hAnsiTheme="majorHAnsi" w:cs="Arial"/>
        </w:rPr>
        <w:t> </w:t>
      </w:r>
      <w:r w:rsidRPr="007C1274">
        <w:rPr>
          <w:rFonts w:asciiTheme="majorHAnsi" w:hAnsiTheme="majorHAnsi" w:cs="Arial"/>
        </w:rPr>
        <w:t>objemu, který by v</w:t>
      </w:r>
      <w:r w:rsidR="00CE7C79">
        <w:rPr>
          <w:rFonts w:asciiTheme="majorHAnsi" w:hAnsiTheme="majorHAnsi" w:cs="Arial"/>
        </w:rPr>
        <w:t> </w:t>
      </w:r>
      <w:r w:rsidRPr="007C1274">
        <w:rPr>
          <w:rFonts w:asciiTheme="majorHAnsi" w:hAnsiTheme="majorHAnsi" w:cs="Arial"/>
        </w:rPr>
        <w:t>úhrnu přesáhl 1 mil. Kč.</w:t>
      </w:r>
    </w:p>
    <w:p w14:paraId="06C83FBF" w14:textId="12FB6365" w:rsidR="00C17226" w:rsidRPr="00972867" w:rsidRDefault="00C17226" w:rsidP="002E1B59">
      <w:pPr>
        <w:spacing w:after="120"/>
        <w:jc w:val="both"/>
        <w:rPr>
          <w:rFonts w:asciiTheme="majorHAnsi" w:hAnsiTheme="majorHAnsi" w:cs="Arial"/>
          <w:b/>
          <w:u w:val="single"/>
        </w:rPr>
      </w:pPr>
      <w:r w:rsidRPr="00972867">
        <w:rPr>
          <w:rFonts w:asciiTheme="majorHAnsi" w:hAnsiTheme="majorHAnsi" w:cs="Arial"/>
          <w:b/>
          <w:u w:val="single"/>
        </w:rPr>
        <w:t>Veřejná podpora:</w:t>
      </w:r>
    </w:p>
    <w:p w14:paraId="4B42478C" w14:textId="0452BCC5" w:rsidR="00C17226" w:rsidRDefault="00C17226" w:rsidP="002E1B59">
      <w:pPr>
        <w:spacing w:after="120"/>
        <w:jc w:val="both"/>
        <w:rPr>
          <w:rFonts w:asciiTheme="majorHAnsi" w:hAnsiTheme="majorHAnsi" w:cs="Arial"/>
        </w:rPr>
      </w:pPr>
      <w:r w:rsidRPr="00972867">
        <w:rPr>
          <w:rFonts w:asciiTheme="majorHAnsi" w:hAnsiTheme="majorHAnsi" w:cs="Arial"/>
        </w:rPr>
        <w:t>Podpora je poskytována formou dotace na uznané náklady projektu, tj. na ty způsobilé náklady vymezené zákonem, N</w:t>
      </w:r>
      <w:r w:rsidRPr="00251919">
        <w:rPr>
          <w:rFonts w:asciiTheme="majorHAnsi" w:hAnsiTheme="majorHAnsi" w:cs="Arial"/>
        </w:rPr>
        <w:t>ařízením Komise</w:t>
      </w:r>
      <w:r>
        <w:rPr>
          <w:rFonts w:asciiTheme="majorHAnsi" w:hAnsiTheme="majorHAnsi" w:cs="Arial"/>
        </w:rPr>
        <w:t xml:space="preserve"> </w:t>
      </w:r>
      <w:r w:rsidRPr="00251919">
        <w:rPr>
          <w:rFonts w:asciiTheme="majorHAnsi" w:hAnsiTheme="majorHAnsi" w:cs="Arial"/>
        </w:rPr>
        <w:t>a</w:t>
      </w:r>
      <w:r w:rsidR="00CE7C79">
        <w:rPr>
          <w:rFonts w:asciiTheme="majorHAnsi" w:hAnsiTheme="majorHAnsi" w:cs="Arial"/>
        </w:rPr>
        <w:t> </w:t>
      </w:r>
      <w:r w:rsidRPr="00251919">
        <w:rPr>
          <w:rFonts w:asciiTheme="majorHAnsi" w:hAnsiTheme="majorHAnsi" w:cs="Arial"/>
        </w:rPr>
        <w:t>Rámcem</w:t>
      </w:r>
      <w:r>
        <w:rPr>
          <w:rFonts w:asciiTheme="majorHAnsi" w:hAnsiTheme="majorHAnsi" w:cs="Arial"/>
        </w:rPr>
        <w:t>, které splňují podmínky soutěže dané zadávací dokumentací a</w:t>
      </w:r>
      <w:r w:rsidR="00CE7C79">
        <w:rPr>
          <w:rFonts w:asciiTheme="majorHAnsi" w:hAnsiTheme="majorHAnsi" w:cs="Arial"/>
        </w:rPr>
        <w:t> </w:t>
      </w:r>
      <w:r>
        <w:rPr>
          <w:rFonts w:asciiTheme="majorHAnsi" w:hAnsiTheme="majorHAnsi" w:cs="Arial"/>
        </w:rPr>
        <w:t>jsou poskytovatelem uznány.</w:t>
      </w:r>
    </w:p>
    <w:p w14:paraId="48BF9270" w14:textId="388AC817" w:rsidR="00C17226" w:rsidRDefault="00C17226" w:rsidP="002E1B59">
      <w:pPr>
        <w:spacing w:after="120"/>
        <w:jc w:val="both"/>
        <w:rPr>
          <w:rFonts w:asciiTheme="majorHAnsi" w:hAnsiTheme="majorHAnsi" w:cs="Arial"/>
        </w:rPr>
      </w:pPr>
      <w:r w:rsidRPr="00E41911">
        <w:rPr>
          <w:rFonts w:asciiTheme="majorHAnsi" w:hAnsiTheme="majorHAnsi" w:cs="Arial"/>
        </w:rPr>
        <w:t>Maximální intenzita podpory pro jednotlivé kategorie podpory a</w:t>
      </w:r>
      <w:r w:rsidR="00CE7C79">
        <w:rPr>
          <w:rFonts w:asciiTheme="majorHAnsi" w:hAnsiTheme="majorHAnsi" w:cs="Arial"/>
        </w:rPr>
        <w:t> </w:t>
      </w:r>
      <w:r w:rsidRPr="00E41911">
        <w:rPr>
          <w:rFonts w:asciiTheme="majorHAnsi" w:hAnsiTheme="majorHAnsi" w:cs="Arial"/>
        </w:rPr>
        <w:t>jednotlivé kategorie příjemců a</w:t>
      </w:r>
      <w:r w:rsidR="00CE7C79">
        <w:rPr>
          <w:rFonts w:asciiTheme="majorHAnsi" w:hAnsiTheme="majorHAnsi" w:cs="Arial"/>
        </w:rPr>
        <w:t> </w:t>
      </w:r>
      <w:r w:rsidRPr="00E41911">
        <w:rPr>
          <w:rFonts w:asciiTheme="majorHAnsi" w:hAnsiTheme="majorHAnsi" w:cs="Arial"/>
        </w:rPr>
        <w:t>dalších účastníků je uvedena v</w:t>
      </w:r>
      <w:r w:rsidR="00CE7C79">
        <w:rPr>
          <w:rFonts w:asciiTheme="majorHAnsi" w:hAnsiTheme="majorHAnsi" w:cs="Arial"/>
        </w:rPr>
        <w:t> </w:t>
      </w:r>
      <w:r w:rsidR="00975BBF">
        <w:rPr>
          <w:rFonts w:asciiTheme="majorHAnsi" w:hAnsiTheme="majorHAnsi" w:cs="Arial"/>
        </w:rPr>
        <w:t>T</w:t>
      </w:r>
      <w:r w:rsidR="006A3E80">
        <w:rPr>
          <w:rFonts w:asciiTheme="majorHAnsi" w:hAnsiTheme="majorHAnsi" w:cs="Arial"/>
        </w:rPr>
        <w:t>abulce</w:t>
      </w:r>
      <w:r>
        <w:rPr>
          <w:rFonts w:asciiTheme="majorHAnsi" w:hAnsiTheme="majorHAnsi" w:cs="Arial"/>
        </w:rPr>
        <w:t xml:space="preserve"> 1.</w:t>
      </w:r>
    </w:p>
    <w:p w14:paraId="78619E96" w14:textId="0028C1D8" w:rsidR="003A7374" w:rsidRPr="00DF0C07" w:rsidRDefault="003A7374" w:rsidP="00A7392F">
      <w:pPr>
        <w:pStyle w:val="Titulek"/>
      </w:pPr>
      <w:bookmarkStart w:id="3" w:name="_Toc150180757"/>
      <w:bookmarkStart w:id="4" w:name="_Toc185334568"/>
      <w:r w:rsidRPr="00DF0C07">
        <w:t xml:space="preserve">Tabulka </w:t>
      </w:r>
      <w:r w:rsidR="00353407">
        <w:fldChar w:fldCharType="begin"/>
      </w:r>
      <w:r w:rsidR="00353407">
        <w:instrText xml:space="preserve"> SEQ Tabulka \* ARABIC </w:instrText>
      </w:r>
      <w:r w:rsidR="00353407">
        <w:fldChar w:fldCharType="separate"/>
      </w:r>
      <w:r w:rsidR="00353407">
        <w:rPr>
          <w:noProof/>
        </w:rPr>
        <w:t>1</w:t>
      </w:r>
      <w:r w:rsidR="00353407">
        <w:rPr>
          <w:noProof/>
        </w:rPr>
        <w:fldChar w:fldCharType="end"/>
      </w:r>
      <w:r w:rsidRPr="00DF0C07">
        <w:t>: Maximální intenzita podpory pro jednotlivé kategorie činností a</w:t>
      </w:r>
      <w:r w:rsidR="00CE7C79">
        <w:t> </w:t>
      </w:r>
      <w:r w:rsidRPr="00DF0C07">
        <w:t>kategorie účastníků</w:t>
      </w:r>
      <w:bookmarkEnd w:id="3"/>
      <w:bookmarkEnd w:id="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606"/>
        <w:gridCol w:w="1606"/>
        <w:gridCol w:w="1607"/>
      </w:tblGrid>
      <w:tr w:rsidR="00D41566" w:rsidRPr="00095BB4" w14:paraId="7AF13562" w14:textId="77777777" w:rsidTr="00263DF0">
        <w:trPr>
          <w:trHeight w:val="454"/>
        </w:trPr>
        <w:tc>
          <w:tcPr>
            <w:tcW w:w="4815"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540DE0C5" w14:textId="77777777" w:rsidR="00D41566" w:rsidRPr="00CF438E" w:rsidRDefault="00D41566" w:rsidP="0071431E">
            <w:pPr>
              <w:keepNext/>
              <w:spacing w:after="0" w:line="240" w:lineRule="auto"/>
              <w:jc w:val="both"/>
              <w:rPr>
                <w:rFonts w:ascii="Calibri" w:eastAsia="Times New Roman" w:hAnsi="Calibri" w:cs="Times New Roman"/>
                <w:bCs/>
                <w:color w:val="000000"/>
                <w:lang w:eastAsia="cs-CZ"/>
              </w:rPr>
            </w:pPr>
            <w:r w:rsidRPr="00CF438E">
              <w:rPr>
                <w:rFonts w:ascii="Calibri" w:eastAsia="Times New Roman" w:hAnsi="Calibri" w:cs="Times New Roman"/>
                <w:bCs/>
                <w:color w:val="000000"/>
                <w:lang w:eastAsia="cs-CZ"/>
              </w:rPr>
              <w:t>Kategorie činnosti / účastník</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3374BE35" w14:textId="77777777" w:rsidR="00D41566" w:rsidRPr="00CF438E" w:rsidRDefault="00D41566" w:rsidP="0071431E">
            <w:pPr>
              <w:keepNext/>
              <w:spacing w:after="0" w:line="240" w:lineRule="auto"/>
              <w:jc w:val="center"/>
              <w:rPr>
                <w:rFonts w:eastAsia="Times New Roman" w:cs="Arial"/>
                <w:bCs/>
                <w:i/>
                <w:lang w:eastAsia="cs-CZ"/>
              </w:rPr>
            </w:pPr>
            <w:r w:rsidRPr="00CF438E">
              <w:rPr>
                <w:rFonts w:eastAsia="Times New Roman" w:cs="Arial"/>
                <w:bCs/>
                <w:lang w:eastAsia="cs-CZ"/>
              </w:rPr>
              <w:t>Malý podnik</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20B1CC86" w14:textId="77777777" w:rsidR="00D41566" w:rsidRPr="00CF438E" w:rsidRDefault="00D41566" w:rsidP="0071431E">
            <w:pPr>
              <w:keepNext/>
              <w:spacing w:after="0" w:line="240" w:lineRule="auto"/>
              <w:jc w:val="center"/>
              <w:rPr>
                <w:rFonts w:eastAsia="Times New Roman" w:cs="Arial"/>
                <w:bCs/>
                <w:i/>
                <w:lang w:eastAsia="cs-CZ"/>
              </w:rPr>
            </w:pPr>
            <w:r w:rsidRPr="00CF438E">
              <w:rPr>
                <w:rFonts w:eastAsia="Times New Roman" w:cs="Arial"/>
                <w:bCs/>
                <w:lang w:eastAsia="cs-CZ"/>
              </w:rPr>
              <w:t>Střední podnik</w:t>
            </w:r>
          </w:p>
        </w:tc>
        <w:tc>
          <w:tcPr>
            <w:tcW w:w="1607"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5FFFFF47" w14:textId="77777777" w:rsidR="00D41566" w:rsidRPr="00CF438E" w:rsidRDefault="00D41566" w:rsidP="0071431E">
            <w:pPr>
              <w:keepNext/>
              <w:spacing w:after="0" w:line="240" w:lineRule="auto"/>
              <w:jc w:val="center"/>
              <w:rPr>
                <w:rFonts w:eastAsia="Times New Roman" w:cs="Arial"/>
                <w:bCs/>
                <w:i/>
                <w:lang w:eastAsia="cs-CZ"/>
              </w:rPr>
            </w:pPr>
            <w:r w:rsidRPr="00CF438E">
              <w:rPr>
                <w:rFonts w:eastAsia="Times New Roman" w:cs="Arial"/>
                <w:bCs/>
                <w:lang w:eastAsia="cs-CZ"/>
              </w:rPr>
              <w:t>Velký podnik</w:t>
            </w:r>
          </w:p>
        </w:tc>
      </w:tr>
      <w:tr w:rsidR="00D41566" w:rsidRPr="00095BB4" w14:paraId="6C9CD844" w14:textId="77777777" w:rsidTr="00D511C2">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9F4B4" w14:textId="77777777" w:rsidR="00D41566" w:rsidRPr="00DF597A" w:rsidRDefault="00D41566" w:rsidP="0071431E">
            <w:pPr>
              <w:keepNext/>
              <w:spacing w:after="0" w:line="240" w:lineRule="auto"/>
              <w:jc w:val="both"/>
              <w:rPr>
                <w:rFonts w:ascii="Calibri" w:eastAsia="Times New Roman" w:hAnsi="Calibri" w:cs="Times New Roman"/>
                <w:color w:val="000000"/>
                <w:lang w:eastAsia="cs-CZ"/>
              </w:rPr>
            </w:pPr>
            <w:r w:rsidRPr="00DF597A">
              <w:rPr>
                <w:rFonts w:ascii="Calibri" w:eastAsia="Times New Roman" w:hAnsi="Calibri" w:cs="Times New Roman"/>
                <w:color w:val="000000"/>
                <w:lang w:eastAsia="cs-CZ"/>
              </w:rPr>
              <w:t>průmyslový výzkum</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74D59DC"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70</w:t>
            </w:r>
            <w:r>
              <w:rPr>
                <w:rFonts w:eastAsia="Times New Roman" w:cs="Arial"/>
                <w:lang w:eastAsia="cs-CZ"/>
              </w:rPr>
              <w:t>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2D7D16CD"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60</w:t>
            </w:r>
            <w:r>
              <w:rPr>
                <w:rFonts w:eastAsia="Times New Roman" w:cs="Arial"/>
                <w:lang w:eastAsia="cs-CZ"/>
              </w:rPr>
              <w:t> %</w:t>
            </w:r>
          </w:p>
        </w:tc>
        <w:tc>
          <w:tcPr>
            <w:tcW w:w="1607" w:type="dxa"/>
            <w:tcBorders>
              <w:top w:val="single" w:sz="4" w:space="0" w:color="auto"/>
              <w:left w:val="single" w:sz="4" w:space="0" w:color="auto"/>
              <w:bottom w:val="single" w:sz="4" w:space="0" w:color="auto"/>
              <w:right w:val="single" w:sz="4" w:space="0" w:color="auto"/>
            </w:tcBorders>
            <w:vAlign w:val="center"/>
            <w:hideMark/>
          </w:tcPr>
          <w:p w14:paraId="32E0940F"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50</w:t>
            </w:r>
            <w:r>
              <w:rPr>
                <w:rFonts w:eastAsia="Times New Roman" w:cs="Arial"/>
                <w:lang w:eastAsia="cs-CZ"/>
              </w:rPr>
              <w:t> %</w:t>
            </w:r>
          </w:p>
        </w:tc>
      </w:tr>
      <w:tr w:rsidR="00D41566" w:rsidRPr="00095BB4" w14:paraId="5FEBF7FC" w14:textId="77777777" w:rsidTr="00D511C2">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19A38" w14:textId="26EADF4F" w:rsidR="00D41566" w:rsidRPr="00DF597A" w:rsidRDefault="00D41566" w:rsidP="003647ED">
            <w:pPr>
              <w:keepNext/>
              <w:spacing w:after="0" w:line="240" w:lineRule="auto"/>
              <w:jc w:val="both"/>
              <w:rPr>
                <w:rFonts w:ascii="Calibri" w:eastAsia="Times New Roman" w:hAnsi="Calibri" w:cs="Times New Roman"/>
                <w:color w:val="000000"/>
                <w:lang w:eastAsia="cs-CZ"/>
              </w:rPr>
            </w:pPr>
            <w:r w:rsidRPr="00DF597A">
              <w:rPr>
                <w:rFonts w:ascii="Calibri" w:eastAsia="Times New Roman" w:hAnsi="Calibri" w:cs="Times New Roman"/>
                <w:color w:val="000000"/>
                <w:lang w:eastAsia="cs-CZ"/>
              </w:rPr>
              <w:t>průmyslový výzkum v</w:t>
            </w:r>
            <w:r w:rsidR="00CE7C79">
              <w:rPr>
                <w:rFonts w:ascii="Calibri" w:eastAsia="Times New Roman" w:hAnsi="Calibri" w:cs="Times New Roman"/>
                <w:color w:val="000000"/>
                <w:lang w:eastAsia="cs-CZ"/>
              </w:rPr>
              <w:t> </w:t>
            </w:r>
            <w:r w:rsidRPr="00DF597A">
              <w:rPr>
                <w:rFonts w:ascii="Calibri" w:eastAsia="Times New Roman" w:hAnsi="Calibri" w:cs="Times New Roman"/>
                <w:color w:val="000000"/>
                <w:lang w:eastAsia="cs-CZ"/>
              </w:rPr>
              <w:t>případě účinné spolupráce</w:t>
            </w:r>
          </w:p>
        </w:tc>
        <w:tc>
          <w:tcPr>
            <w:tcW w:w="1606" w:type="dxa"/>
            <w:tcBorders>
              <w:top w:val="single" w:sz="4" w:space="0" w:color="auto"/>
              <w:left w:val="single" w:sz="4" w:space="0" w:color="auto"/>
              <w:bottom w:val="single" w:sz="4" w:space="0" w:color="auto"/>
              <w:right w:val="single" w:sz="4" w:space="0" w:color="auto"/>
            </w:tcBorders>
            <w:vAlign w:val="center"/>
            <w:hideMark/>
          </w:tcPr>
          <w:p w14:paraId="1C263761"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80</w:t>
            </w:r>
            <w:r>
              <w:rPr>
                <w:rFonts w:eastAsia="Times New Roman" w:cs="Arial"/>
                <w:lang w:eastAsia="cs-CZ"/>
              </w:rPr>
              <w:t>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01274056"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75</w:t>
            </w:r>
            <w:r>
              <w:rPr>
                <w:rFonts w:eastAsia="Times New Roman" w:cs="Arial"/>
                <w:lang w:eastAsia="cs-CZ"/>
              </w:rPr>
              <w:t> %</w:t>
            </w:r>
          </w:p>
        </w:tc>
        <w:tc>
          <w:tcPr>
            <w:tcW w:w="1607" w:type="dxa"/>
            <w:tcBorders>
              <w:top w:val="single" w:sz="4" w:space="0" w:color="auto"/>
              <w:left w:val="single" w:sz="4" w:space="0" w:color="auto"/>
              <w:bottom w:val="single" w:sz="4" w:space="0" w:color="auto"/>
              <w:right w:val="single" w:sz="4" w:space="0" w:color="auto"/>
            </w:tcBorders>
            <w:vAlign w:val="center"/>
            <w:hideMark/>
          </w:tcPr>
          <w:p w14:paraId="59DBCA47"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65</w:t>
            </w:r>
            <w:r>
              <w:rPr>
                <w:rFonts w:eastAsia="Times New Roman" w:cs="Arial"/>
                <w:lang w:eastAsia="cs-CZ"/>
              </w:rPr>
              <w:t> %</w:t>
            </w:r>
          </w:p>
        </w:tc>
      </w:tr>
      <w:tr w:rsidR="00D41566" w:rsidRPr="00095BB4" w14:paraId="534B0812" w14:textId="77777777" w:rsidTr="00D511C2">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55CF4" w14:textId="77777777" w:rsidR="00D41566" w:rsidRPr="00DF597A" w:rsidRDefault="00D41566" w:rsidP="0071431E">
            <w:pPr>
              <w:keepNext/>
              <w:spacing w:after="0" w:line="240" w:lineRule="auto"/>
              <w:jc w:val="both"/>
              <w:rPr>
                <w:rFonts w:ascii="Calibri" w:eastAsia="Times New Roman" w:hAnsi="Calibri" w:cs="Times New Roman"/>
                <w:color w:val="000000"/>
                <w:lang w:eastAsia="cs-CZ"/>
              </w:rPr>
            </w:pPr>
            <w:r w:rsidRPr="00DF597A">
              <w:rPr>
                <w:rFonts w:ascii="Calibri" w:eastAsia="Times New Roman" w:hAnsi="Calibri" w:cs="Times New Roman"/>
                <w:color w:val="000000"/>
                <w:lang w:eastAsia="cs-CZ"/>
              </w:rPr>
              <w:t>experimentální vývoj</w:t>
            </w:r>
          </w:p>
        </w:tc>
        <w:tc>
          <w:tcPr>
            <w:tcW w:w="1606" w:type="dxa"/>
            <w:tcBorders>
              <w:top w:val="single" w:sz="4" w:space="0" w:color="auto"/>
              <w:left w:val="single" w:sz="4" w:space="0" w:color="auto"/>
              <w:bottom w:val="single" w:sz="4" w:space="0" w:color="auto"/>
              <w:right w:val="single" w:sz="4" w:space="0" w:color="auto"/>
            </w:tcBorders>
            <w:vAlign w:val="center"/>
            <w:hideMark/>
          </w:tcPr>
          <w:p w14:paraId="4F1BF7BF"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45</w:t>
            </w:r>
            <w:r>
              <w:rPr>
                <w:rFonts w:eastAsia="Times New Roman" w:cs="Arial"/>
                <w:lang w:eastAsia="cs-CZ"/>
              </w:rPr>
              <w:t>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7EFC4502"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35</w:t>
            </w:r>
            <w:r>
              <w:rPr>
                <w:rFonts w:eastAsia="Times New Roman" w:cs="Arial"/>
                <w:lang w:eastAsia="cs-CZ"/>
              </w:rPr>
              <w:t> %</w:t>
            </w:r>
          </w:p>
        </w:tc>
        <w:tc>
          <w:tcPr>
            <w:tcW w:w="1607" w:type="dxa"/>
            <w:tcBorders>
              <w:top w:val="single" w:sz="4" w:space="0" w:color="auto"/>
              <w:left w:val="single" w:sz="4" w:space="0" w:color="auto"/>
              <w:bottom w:val="single" w:sz="4" w:space="0" w:color="auto"/>
              <w:right w:val="single" w:sz="4" w:space="0" w:color="auto"/>
            </w:tcBorders>
            <w:vAlign w:val="center"/>
            <w:hideMark/>
          </w:tcPr>
          <w:p w14:paraId="2EF049C6" w14:textId="77777777" w:rsidR="00D41566" w:rsidRPr="00095BB4" w:rsidRDefault="00D41566" w:rsidP="0071431E">
            <w:pPr>
              <w:keepNext/>
              <w:spacing w:after="0" w:line="240" w:lineRule="auto"/>
              <w:jc w:val="center"/>
              <w:rPr>
                <w:rFonts w:eastAsia="Times New Roman" w:cs="Arial"/>
                <w:i/>
                <w:lang w:eastAsia="cs-CZ"/>
              </w:rPr>
            </w:pPr>
            <w:r w:rsidRPr="00095BB4">
              <w:rPr>
                <w:rFonts w:eastAsia="Times New Roman" w:cs="Arial"/>
                <w:lang w:eastAsia="cs-CZ"/>
              </w:rPr>
              <w:t>25</w:t>
            </w:r>
            <w:r>
              <w:rPr>
                <w:rFonts w:eastAsia="Times New Roman" w:cs="Arial"/>
                <w:lang w:eastAsia="cs-CZ"/>
              </w:rPr>
              <w:t> %</w:t>
            </w:r>
          </w:p>
        </w:tc>
      </w:tr>
      <w:tr w:rsidR="00D41566" w:rsidRPr="00095BB4" w14:paraId="3FFB55EF" w14:textId="77777777" w:rsidTr="00D511C2">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17DE6" w14:textId="7131BEBA" w:rsidR="00D41566" w:rsidRPr="00DF597A" w:rsidRDefault="00D41566" w:rsidP="003647ED">
            <w:pPr>
              <w:spacing w:after="0" w:line="240" w:lineRule="auto"/>
              <w:jc w:val="both"/>
              <w:rPr>
                <w:rFonts w:ascii="Calibri" w:eastAsia="Times New Roman" w:hAnsi="Calibri" w:cs="Times New Roman"/>
                <w:color w:val="000000"/>
                <w:lang w:eastAsia="cs-CZ"/>
              </w:rPr>
            </w:pPr>
            <w:r w:rsidRPr="00DF597A">
              <w:rPr>
                <w:rFonts w:ascii="Calibri" w:eastAsia="Times New Roman" w:hAnsi="Calibri" w:cs="Times New Roman"/>
                <w:color w:val="000000"/>
                <w:lang w:eastAsia="cs-CZ"/>
              </w:rPr>
              <w:t>experimentální vývoj v</w:t>
            </w:r>
            <w:r w:rsidR="00CE7C79">
              <w:rPr>
                <w:rFonts w:ascii="Calibri" w:eastAsia="Times New Roman" w:hAnsi="Calibri" w:cs="Times New Roman"/>
                <w:color w:val="000000"/>
                <w:lang w:eastAsia="cs-CZ"/>
              </w:rPr>
              <w:t> </w:t>
            </w:r>
            <w:r w:rsidRPr="00DF597A">
              <w:rPr>
                <w:rFonts w:ascii="Calibri" w:eastAsia="Times New Roman" w:hAnsi="Calibri" w:cs="Times New Roman"/>
                <w:color w:val="000000"/>
                <w:lang w:eastAsia="cs-CZ"/>
              </w:rPr>
              <w:t>případě účinné spolupráce</w:t>
            </w:r>
          </w:p>
        </w:tc>
        <w:tc>
          <w:tcPr>
            <w:tcW w:w="1606" w:type="dxa"/>
            <w:tcBorders>
              <w:top w:val="single" w:sz="4" w:space="0" w:color="auto"/>
              <w:left w:val="single" w:sz="4" w:space="0" w:color="auto"/>
              <w:bottom w:val="single" w:sz="4" w:space="0" w:color="auto"/>
              <w:right w:val="single" w:sz="4" w:space="0" w:color="auto"/>
            </w:tcBorders>
            <w:vAlign w:val="center"/>
            <w:hideMark/>
          </w:tcPr>
          <w:p w14:paraId="02C78E7D" w14:textId="77777777" w:rsidR="00D41566" w:rsidRPr="00095BB4" w:rsidRDefault="00D41566" w:rsidP="0071431E">
            <w:pPr>
              <w:spacing w:after="0" w:line="240" w:lineRule="auto"/>
              <w:jc w:val="center"/>
              <w:rPr>
                <w:rFonts w:eastAsia="Times New Roman" w:cs="Arial"/>
                <w:i/>
                <w:lang w:eastAsia="cs-CZ"/>
              </w:rPr>
            </w:pPr>
            <w:r w:rsidRPr="00095BB4">
              <w:rPr>
                <w:rFonts w:eastAsia="Times New Roman" w:cs="Arial"/>
                <w:lang w:eastAsia="cs-CZ"/>
              </w:rPr>
              <w:t>60</w:t>
            </w:r>
            <w:r>
              <w:rPr>
                <w:rFonts w:eastAsia="Times New Roman" w:cs="Arial"/>
                <w:lang w:eastAsia="cs-CZ"/>
              </w:rPr>
              <w:t>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CB21226" w14:textId="77777777" w:rsidR="00D41566" w:rsidRPr="00095BB4" w:rsidRDefault="00D41566" w:rsidP="0071431E">
            <w:pPr>
              <w:spacing w:after="0" w:line="240" w:lineRule="auto"/>
              <w:jc w:val="center"/>
              <w:rPr>
                <w:rFonts w:eastAsia="Times New Roman" w:cs="Arial"/>
                <w:i/>
                <w:lang w:eastAsia="cs-CZ"/>
              </w:rPr>
            </w:pPr>
            <w:r w:rsidRPr="00095BB4">
              <w:rPr>
                <w:rFonts w:eastAsia="Times New Roman" w:cs="Arial"/>
                <w:lang w:eastAsia="cs-CZ"/>
              </w:rPr>
              <w:t>50</w:t>
            </w:r>
            <w:r>
              <w:rPr>
                <w:rFonts w:eastAsia="Times New Roman" w:cs="Arial"/>
                <w:lang w:eastAsia="cs-CZ"/>
              </w:rPr>
              <w:t> %</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66F1EBF" w14:textId="77777777" w:rsidR="00D41566" w:rsidRPr="00095BB4" w:rsidRDefault="00D41566" w:rsidP="0071431E">
            <w:pPr>
              <w:spacing w:after="0" w:line="240" w:lineRule="auto"/>
              <w:jc w:val="center"/>
              <w:rPr>
                <w:rFonts w:eastAsia="Times New Roman" w:cs="Arial"/>
                <w:i/>
                <w:lang w:eastAsia="cs-CZ"/>
              </w:rPr>
            </w:pPr>
            <w:r w:rsidRPr="00095BB4">
              <w:rPr>
                <w:rFonts w:eastAsia="Times New Roman" w:cs="Arial"/>
                <w:lang w:eastAsia="cs-CZ"/>
              </w:rPr>
              <w:t>40</w:t>
            </w:r>
            <w:r>
              <w:rPr>
                <w:rFonts w:eastAsia="Times New Roman" w:cs="Arial"/>
                <w:lang w:eastAsia="cs-CZ"/>
              </w:rPr>
              <w:t> %</w:t>
            </w:r>
          </w:p>
        </w:tc>
      </w:tr>
    </w:tbl>
    <w:p w14:paraId="41B248D7" w14:textId="47E22A12" w:rsidR="003652F7" w:rsidRPr="009F26B4" w:rsidRDefault="00972867" w:rsidP="00544EB6">
      <w:pPr>
        <w:spacing w:before="240" w:after="120"/>
        <w:jc w:val="both"/>
        <w:rPr>
          <w:rFonts w:asciiTheme="majorHAnsi" w:hAnsiTheme="majorHAnsi" w:cs="Arial"/>
        </w:rPr>
      </w:pPr>
      <w:r w:rsidRPr="00972867">
        <w:rPr>
          <w:rFonts w:asciiTheme="majorHAnsi" w:hAnsiTheme="majorHAnsi" w:cs="Arial"/>
        </w:rPr>
        <w:t>Výzkumné organizace mohou obdržet až 90% intenzitu podpory, ale pouze na své nehospodářské činnosti podle Rámce a</w:t>
      </w:r>
      <w:r w:rsidR="00CE7C79">
        <w:rPr>
          <w:rFonts w:asciiTheme="majorHAnsi" w:hAnsiTheme="majorHAnsi" w:cs="Arial"/>
        </w:rPr>
        <w:t> </w:t>
      </w:r>
      <w:r w:rsidRPr="00972867">
        <w:rPr>
          <w:rFonts w:asciiTheme="majorHAnsi" w:hAnsiTheme="majorHAnsi" w:cs="Arial"/>
        </w:rPr>
        <w:t>pokud budou dodrženy všechny související podmínky Nařízení Komise a</w:t>
      </w:r>
      <w:r w:rsidR="00CE7C79">
        <w:rPr>
          <w:rFonts w:asciiTheme="majorHAnsi" w:hAnsiTheme="majorHAnsi" w:cs="Arial"/>
        </w:rPr>
        <w:t> </w:t>
      </w:r>
      <w:r w:rsidRPr="00972867">
        <w:rPr>
          <w:rFonts w:asciiTheme="majorHAnsi" w:hAnsiTheme="majorHAnsi" w:cs="Arial"/>
        </w:rPr>
        <w:t>Rámce.</w:t>
      </w:r>
    </w:p>
    <w:p w14:paraId="2BD9B6E9" w14:textId="37BBC829" w:rsidR="00F84DC2" w:rsidRDefault="00BE7049" w:rsidP="00F65956">
      <w:pPr>
        <w:pStyle w:val="Nadpis1"/>
      </w:pPr>
      <w:bookmarkStart w:id="5" w:name="_Toc185334551"/>
      <w:r>
        <w:lastRenderedPageBreak/>
        <w:t>VEŘEJNÉ SOUTĚŽE</w:t>
      </w:r>
      <w:bookmarkEnd w:id="5"/>
    </w:p>
    <w:p w14:paraId="3750931D" w14:textId="56972471" w:rsidR="007D7C7E" w:rsidRPr="00D35FC6" w:rsidRDefault="007D7C7E" w:rsidP="00544EB6">
      <w:pPr>
        <w:spacing w:after="120"/>
        <w:jc w:val="both"/>
        <w:rPr>
          <w:rFonts w:cs="Arial"/>
        </w:rPr>
      </w:pPr>
      <w:r>
        <w:rPr>
          <w:rFonts w:cs="Arial"/>
        </w:rPr>
        <w:t>V rámci Programu byl</w:t>
      </w:r>
      <w:r w:rsidR="007C1274">
        <w:rPr>
          <w:rFonts w:cs="Arial"/>
        </w:rPr>
        <w:t>o</w:t>
      </w:r>
      <w:r>
        <w:rPr>
          <w:rFonts w:cs="Arial"/>
        </w:rPr>
        <w:t xml:space="preserve"> poskytovatelem vyhlášen</w:t>
      </w:r>
      <w:r w:rsidR="007C1274">
        <w:rPr>
          <w:rFonts w:cs="Arial"/>
        </w:rPr>
        <w:t>o</w:t>
      </w:r>
      <w:r>
        <w:rPr>
          <w:rFonts w:cs="Arial"/>
        </w:rPr>
        <w:t xml:space="preserve"> </w:t>
      </w:r>
      <w:r w:rsidR="007C1274">
        <w:rPr>
          <w:rFonts w:cs="Arial"/>
        </w:rPr>
        <w:t>1</w:t>
      </w:r>
      <w:r w:rsidR="00E264FC">
        <w:rPr>
          <w:rFonts w:cs="Arial"/>
        </w:rPr>
        <w:t>1</w:t>
      </w:r>
      <w:r>
        <w:rPr>
          <w:rFonts w:cs="Arial"/>
        </w:rPr>
        <w:t xml:space="preserve"> </w:t>
      </w:r>
      <w:r w:rsidR="00A54266">
        <w:rPr>
          <w:rFonts w:cs="Arial"/>
        </w:rPr>
        <w:t>veřejn</w:t>
      </w:r>
      <w:r w:rsidR="007C1274">
        <w:rPr>
          <w:rFonts w:cs="Arial"/>
        </w:rPr>
        <w:t>ých</w:t>
      </w:r>
      <w:r w:rsidR="00A54266">
        <w:rPr>
          <w:rFonts w:cs="Arial"/>
        </w:rPr>
        <w:t xml:space="preserve"> soutěž</w:t>
      </w:r>
      <w:r w:rsidR="007C1274">
        <w:rPr>
          <w:rFonts w:cs="Arial"/>
        </w:rPr>
        <w:t>í (dále také jen „VS“)</w:t>
      </w:r>
      <w:r w:rsidR="00D35FC6">
        <w:rPr>
          <w:rFonts w:cs="Arial"/>
        </w:rPr>
        <w:t xml:space="preserve">. Celkem </w:t>
      </w:r>
      <w:r w:rsidR="00E264FC">
        <w:rPr>
          <w:rFonts w:cs="Arial"/>
        </w:rPr>
        <w:t>7</w:t>
      </w:r>
      <w:r w:rsidR="00D35FC6" w:rsidRPr="00D35FC6">
        <w:rPr>
          <w:rFonts w:cs="Arial"/>
        </w:rPr>
        <w:t xml:space="preserve"> VS</w:t>
      </w:r>
      <w:r w:rsidR="00D35FC6">
        <w:rPr>
          <w:rFonts w:cs="Arial"/>
        </w:rPr>
        <w:t xml:space="preserve"> bylo vyhlášeno</w:t>
      </w:r>
      <w:r w:rsidR="00D35FC6" w:rsidRPr="00D35FC6">
        <w:rPr>
          <w:rFonts w:cs="Arial"/>
        </w:rPr>
        <w:t xml:space="preserve"> z</w:t>
      </w:r>
      <w:r w:rsidR="00CE7C79">
        <w:rPr>
          <w:rFonts w:cs="Arial"/>
        </w:rPr>
        <w:t> </w:t>
      </w:r>
      <w:r w:rsidR="00D35FC6" w:rsidRPr="00D35FC6">
        <w:rPr>
          <w:rFonts w:cs="Arial"/>
        </w:rPr>
        <w:t xml:space="preserve">podprogramu Lídři, </w:t>
      </w:r>
      <w:r w:rsidR="00D35FC6">
        <w:rPr>
          <w:rFonts w:cs="Arial"/>
        </w:rPr>
        <w:t>4 VS byly vyhlášeny z</w:t>
      </w:r>
      <w:r w:rsidR="00CE7C79">
        <w:rPr>
          <w:rFonts w:cs="Arial"/>
        </w:rPr>
        <w:t> </w:t>
      </w:r>
      <w:r w:rsidR="00D35FC6">
        <w:rPr>
          <w:rFonts w:cs="Arial"/>
        </w:rPr>
        <w:t>podprogramu Nováčci.</w:t>
      </w:r>
      <w:r w:rsidR="004C1586" w:rsidRPr="004C1586">
        <w:rPr>
          <w:rFonts w:cs="Arial"/>
        </w:rPr>
        <w:t xml:space="preserve"> </w:t>
      </w:r>
      <w:r w:rsidR="00BE7049">
        <w:rPr>
          <w:rFonts w:cs="Arial"/>
        </w:rPr>
        <w:t>V</w:t>
      </w:r>
      <w:r w:rsidR="00CE7C79">
        <w:rPr>
          <w:rFonts w:cs="Arial"/>
        </w:rPr>
        <w:t> </w:t>
      </w:r>
      <w:r w:rsidR="00BE7049">
        <w:rPr>
          <w:rFonts w:cs="Arial"/>
        </w:rPr>
        <w:t xml:space="preserve">rámci podprogramu Lídři byly tři soutěže </w:t>
      </w:r>
      <w:r w:rsidR="00E46E41">
        <w:rPr>
          <w:rFonts w:cs="Arial"/>
        </w:rPr>
        <w:t xml:space="preserve">(7., 8. a 10.) </w:t>
      </w:r>
      <w:r w:rsidR="004C1586" w:rsidRPr="00D35FC6">
        <w:rPr>
          <w:rFonts w:cs="Arial"/>
        </w:rPr>
        <w:t>realizované v</w:t>
      </w:r>
      <w:r w:rsidR="00CE7C79">
        <w:rPr>
          <w:rFonts w:cs="Arial"/>
        </w:rPr>
        <w:t> </w:t>
      </w:r>
      <w:r w:rsidR="004C1586" w:rsidRPr="00D35FC6">
        <w:rPr>
          <w:rFonts w:cs="Arial"/>
        </w:rPr>
        <w:t>rámci implementace Národního plánu obnovy</w:t>
      </w:r>
      <w:r w:rsidR="004C1586">
        <w:rPr>
          <w:rFonts w:cs="Arial"/>
        </w:rPr>
        <w:t>.</w:t>
      </w:r>
    </w:p>
    <w:p w14:paraId="1375690D" w14:textId="5C61B93A" w:rsidR="000B69CD" w:rsidRPr="000B69CD" w:rsidRDefault="007D7C7E" w:rsidP="00544EB6">
      <w:pPr>
        <w:spacing w:after="120"/>
        <w:jc w:val="both"/>
      </w:pPr>
      <w:r w:rsidRPr="00245805">
        <w:rPr>
          <w:rFonts w:asciiTheme="majorHAnsi" w:hAnsiTheme="majorHAnsi" w:cs="Arial"/>
        </w:rPr>
        <w:t>V</w:t>
      </w:r>
      <w:r>
        <w:rPr>
          <w:rFonts w:asciiTheme="majorHAnsi" w:hAnsiTheme="majorHAnsi" w:cs="Arial"/>
        </w:rPr>
        <w:t xml:space="preserve"> rámci </w:t>
      </w:r>
      <w:r w:rsidR="002807E3">
        <w:rPr>
          <w:rFonts w:asciiTheme="majorHAnsi" w:hAnsiTheme="majorHAnsi" w:cs="Arial"/>
        </w:rPr>
        <w:t xml:space="preserve">deseti </w:t>
      </w:r>
      <w:r w:rsidR="00E46E41">
        <w:rPr>
          <w:rFonts w:asciiTheme="majorHAnsi" w:hAnsiTheme="majorHAnsi" w:cs="Arial"/>
        </w:rPr>
        <w:t xml:space="preserve">ukončených </w:t>
      </w:r>
      <w:r w:rsidRPr="00245805">
        <w:rPr>
          <w:rFonts w:asciiTheme="majorHAnsi" w:hAnsiTheme="majorHAnsi" w:cs="Arial"/>
        </w:rPr>
        <w:t xml:space="preserve">VS bylo doručeno celkem </w:t>
      </w:r>
      <w:r w:rsidR="002807E3">
        <w:rPr>
          <w:rFonts w:asciiTheme="majorHAnsi" w:hAnsiTheme="majorHAnsi" w:cs="Arial"/>
        </w:rPr>
        <w:t>2</w:t>
      </w:r>
      <w:r w:rsidR="00E46E41">
        <w:rPr>
          <w:rFonts w:asciiTheme="majorHAnsi" w:hAnsiTheme="majorHAnsi" w:cs="Arial"/>
        </w:rPr>
        <w:t xml:space="preserve"> </w:t>
      </w:r>
      <w:r w:rsidR="002807E3">
        <w:rPr>
          <w:rFonts w:asciiTheme="majorHAnsi" w:hAnsiTheme="majorHAnsi" w:cs="Arial"/>
        </w:rPr>
        <w:t>312</w:t>
      </w:r>
      <w:r w:rsidRPr="00245805">
        <w:rPr>
          <w:rFonts w:asciiTheme="majorHAnsi" w:hAnsiTheme="majorHAnsi" w:cs="Arial"/>
        </w:rPr>
        <w:t xml:space="preserve"> návrhů projektů.</w:t>
      </w:r>
      <w:r>
        <w:rPr>
          <w:rFonts w:asciiTheme="majorHAnsi" w:hAnsiTheme="majorHAnsi" w:cs="Arial"/>
        </w:rPr>
        <w:t xml:space="preserve"> </w:t>
      </w:r>
      <w:r>
        <w:rPr>
          <w:szCs w:val="28"/>
        </w:rPr>
        <w:t>Požadovaná dotace přihlášených projektů celkem čin</w:t>
      </w:r>
      <w:r w:rsidR="007C1274">
        <w:rPr>
          <w:szCs w:val="28"/>
        </w:rPr>
        <w:t>ila</w:t>
      </w:r>
      <w:r>
        <w:rPr>
          <w:szCs w:val="28"/>
        </w:rPr>
        <w:t xml:space="preserve"> přes </w:t>
      </w:r>
      <w:r w:rsidR="002807E3">
        <w:rPr>
          <w:szCs w:val="28"/>
        </w:rPr>
        <w:t>33</w:t>
      </w:r>
      <w:r>
        <w:rPr>
          <w:szCs w:val="28"/>
        </w:rPr>
        <w:t xml:space="preserve"> ml</w:t>
      </w:r>
      <w:r w:rsidR="002807E3">
        <w:rPr>
          <w:szCs w:val="28"/>
        </w:rPr>
        <w:t>d</w:t>
      </w:r>
      <w:r>
        <w:rPr>
          <w:szCs w:val="28"/>
        </w:rPr>
        <w:t xml:space="preserve">. Kč, náklady </w:t>
      </w:r>
      <w:r w:rsidR="002807E3">
        <w:rPr>
          <w:szCs w:val="28"/>
        </w:rPr>
        <w:t xml:space="preserve">50 </w:t>
      </w:r>
      <w:r>
        <w:rPr>
          <w:szCs w:val="28"/>
        </w:rPr>
        <w:t>ml</w:t>
      </w:r>
      <w:r w:rsidR="002807E3">
        <w:rPr>
          <w:szCs w:val="28"/>
        </w:rPr>
        <w:t>d</w:t>
      </w:r>
      <w:r>
        <w:rPr>
          <w:szCs w:val="28"/>
        </w:rPr>
        <w:t>. Kč.</w:t>
      </w:r>
    </w:p>
    <w:p w14:paraId="3BF22C7E" w14:textId="4A16E362" w:rsidR="00FC4292" w:rsidRDefault="00FC4292" w:rsidP="00A7392F">
      <w:pPr>
        <w:pStyle w:val="Titulek"/>
      </w:pPr>
      <w:bookmarkStart w:id="6" w:name="_Toc150180758"/>
      <w:bookmarkStart w:id="7" w:name="_Toc185334569"/>
      <w:r w:rsidRPr="009C79BC">
        <w:t xml:space="preserve">Tabulka </w:t>
      </w:r>
      <w:r w:rsidR="00353407">
        <w:fldChar w:fldCharType="begin"/>
      </w:r>
      <w:r w:rsidR="00353407">
        <w:instrText xml:space="preserve"> SEQ Tabulka \* ARABIC </w:instrText>
      </w:r>
      <w:r w:rsidR="00353407">
        <w:fldChar w:fldCharType="separate"/>
      </w:r>
      <w:r w:rsidR="00353407">
        <w:rPr>
          <w:noProof/>
        </w:rPr>
        <w:t>2</w:t>
      </w:r>
      <w:r w:rsidR="00353407">
        <w:rPr>
          <w:noProof/>
        </w:rPr>
        <w:fldChar w:fldCharType="end"/>
      </w:r>
      <w:r w:rsidRPr="009C79BC">
        <w:t xml:space="preserve">: Přehled </w:t>
      </w:r>
      <w:r w:rsidR="0030650E">
        <w:t xml:space="preserve">ukončených </w:t>
      </w:r>
      <w:r w:rsidRPr="009C79BC">
        <w:t>veřejných soutěží</w:t>
      </w:r>
      <w:bookmarkEnd w:id="6"/>
      <w:bookmarkEnd w:id="7"/>
    </w:p>
    <w:tbl>
      <w:tblPr>
        <w:tblW w:w="9331" w:type="dxa"/>
        <w:tblLayout w:type="fixed"/>
        <w:tblLook w:val="0400" w:firstRow="0" w:lastRow="0" w:firstColumn="0" w:lastColumn="0" w:noHBand="0" w:noVBand="1"/>
      </w:tblPr>
      <w:tblGrid>
        <w:gridCol w:w="877"/>
        <w:gridCol w:w="1690"/>
        <w:gridCol w:w="1691"/>
        <w:gridCol w:w="1691"/>
        <w:gridCol w:w="1691"/>
        <w:gridCol w:w="1691"/>
      </w:tblGrid>
      <w:tr w:rsidR="009C79BC" w14:paraId="6107A4B6" w14:textId="77777777" w:rsidTr="00C42024">
        <w:trPr>
          <w:trHeight w:val="863"/>
          <w:tblHeader/>
        </w:trPr>
        <w:tc>
          <w:tcPr>
            <w:tcW w:w="877" w:type="dxa"/>
            <w:tcBorders>
              <w:top w:val="single" w:sz="4" w:space="0" w:color="000000"/>
              <w:left w:val="single" w:sz="4" w:space="0" w:color="000000"/>
              <w:bottom w:val="single" w:sz="4" w:space="0" w:color="000000"/>
              <w:right w:val="single" w:sz="4" w:space="0" w:color="000000"/>
            </w:tcBorders>
            <w:shd w:val="clear" w:color="auto" w:fill="B9E0F7"/>
            <w:vAlign w:val="center"/>
          </w:tcPr>
          <w:p w14:paraId="6B3D6D99" w14:textId="78FA3D06" w:rsidR="009C79BC" w:rsidRPr="00CF438E" w:rsidRDefault="009C79BC" w:rsidP="00AC7481">
            <w:pPr>
              <w:spacing w:after="0" w:line="240" w:lineRule="auto"/>
              <w:jc w:val="center"/>
              <w:rPr>
                <w:color w:val="000000"/>
              </w:rPr>
            </w:pPr>
            <w:r w:rsidRPr="00CF438E">
              <w:rPr>
                <w:rFonts w:ascii="Calibri" w:eastAsia="Calibri" w:hAnsi="Calibri" w:cs="Calibri"/>
                <w:color w:val="000000"/>
              </w:rPr>
              <w:t>VS</w:t>
            </w:r>
            <w:r w:rsidRPr="00CF438E">
              <w:rPr>
                <w:rStyle w:val="Znakapoznpodarou"/>
                <w:rFonts w:ascii="Calibri" w:eastAsia="Calibri" w:hAnsi="Calibri" w:cs="Calibri"/>
                <w:color w:val="000000"/>
              </w:rPr>
              <w:footnoteReference w:id="2"/>
            </w:r>
          </w:p>
        </w:tc>
        <w:tc>
          <w:tcPr>
            <w:tcW w:w="1690" w:type="dxa"/>
            <w:tcBorders>
              <w:top w:val="single" w:sz="4" w:space="0" w:color="000000"/>
              <w:left w:val="nil"/>
              <w:bottom w:val="single" w:sz="4" w:space="0" w:color="000000"/>
              <w:right w:val="single" w:sz="4" w:space="0" w:color="000000"/>
            </w:tcBorders>
            <w:shd w:val="clear" w:color="auto" w:fill="B9E0F7"/>
            <w:vAlign w:val="center"/>
          </w:tcPr>
          <w:p w14:paraId="2EA289C8" w14:textId="77777777" w:rsidR="009C79BC" w:rsidRPr="00CF438E" w:rsidRDefault="009C79BC" w:rsidP="00AC7481">
            <w:pPr>
              <w:spacing w:after="0" w:line="240" w:lineRule="auto"/>
              <w:jc w:val="center"/>
              <w:rPr>
                <w:color w:val="000000"/>
              </w:rPr>
            </w:pPr>
            <w:r w:rsidRPr="00CF438E">
              <w:rPr>
                <w:rFonts w:ascii="Calibri" w:eastAsia="Calibri" w:hAnsi="Calibri" w:cs="Calibri"/>
                <w:color w:val="000000"/>
              </w:rPr>
              <w:t>Vyhlášena dne</w:t>
            </w:r>
          </w:p>
        </w:tc>
        <w:tc>
          <w:tcPr>
            <w:tcW w:w="1691" w:type="dxa"/>
            <w:tcBorders>
              <w:top w:val="single" w:sz="4" w:space="0" w:color="000000"/>
              <w:left w:val="nil"/>
              <w:bottom w:val="single" w:sz="4" w:space="0" w:color="000000"/>
              <w:right w:val="single" w:sz="4" w:space="0" w:color="000000"/>
            </w:tcBorders>
            <w:shd w:val="clear" w:color="auto" w:fill="B9E0F7"/>
            <w:vAlign w:val="center"/>
          </w:tcPr>
          <w:p w14:paraId="2C8C9998" w14:textId="77777777" w:rsidR="009C79BC" w:rsidRPr="00CF438E" w:rsidRDefault="009C79BC" w:rsidP="00AC7481">
            <w:pPr>
              <w:spacing w:after="0" w:line="240" w:lineRule="auto"/>
              <w:jc w:val="center"/>
              <w:rPr>
                <w:color w:val="000000"/>
              </w:rPr>
            </w:pPr>
            <w:r w:rsidRPr="00CF438E">
              <w:rPr>
                <w:rFonts w:ascii="Calibri" w:eastAsia="Calibri" w:hAnsi="Calibri" w:cs="Calibri"/>
                <w:color w:val="000000"/>
              </w:rPr>
              <w:t>Výsledky vyhlášeny dne</w:t>
            </w:r>
          </w:p>
        </w:tc>
        <w:tc>
          <w:tcPr>
            <w:tcW w:w="1691" w:type="dxa"/>
            <w:tcBorders>
              <w:top w:val="single" w:sz="4" w:space="0" w:color="000000"/>
              <w:left w:val="nil"/>
              <w:bottom w:val="single" w:sz="4" w:space="0" w:color="000000"/>
              <w:right w:val="single" w:sz="4" w:space="0" w:color="000000"/>
            </w:tcBorders>
            <w:shd w:val="clear" w:color="auto" w:fill="B9E0F7"/>
            <w:vAlign w:val="center"/>
          </w:tcPr>
          <w:p w14:paraId="28ED3130" w14:textId="77777777" w:rsidR="009C79BC" w:rsidRPr="00CF438E" w:rsidRDefault="009C79BC" w:rsidP="00AC7481">
            <w:pPr>
              <w:spacing w:after="0" w:line="240" w:lineRule="auto"/>
              <w:jc w:val="center"/>
              <w:rPr>
                <w:color w:val="000000"/>
              </w:rPr>
            </w:pPr>
            <w:r w:rsidRPr="00CF438E">
              <w:rPr>
                <w:rFonts w:ascii="Calibri" w:eastAsia="Calibri" w:hAnsi="Calibri" w:cs="Calibri"/>
                <w:color w:val="000000"/>
              </w:rPr>
              <w:t xml:space="preserve">Počet </w:t>
            </w:r>
            <w:r w:rsidRPr="00CF438E">
              <w:t xml:space="preserve">podaných </w:t>
            </w:r>
            <w:r w:rsidRPr="00CF438E">
              <w:rPr>
                <w:rFonts w:ascii="Calibri" w:eastAsia="Calibri" w:hAnsi="Calibri" w:cs="Calibri"/>
                <w:color w:val="000000"/>
              </w:rPr>
              <w:t>návrhů projektů</w:t>
            </w:r>
          </w:p>
        </w:tc>
        <w:tc>
          <w:tcPr>
            <w:tcW w:w="1691" w:type="dxa"/>
            <w:tcBorders>
              <w:top w:val="single" w:sz="4" w:space="0" w:color="000000"/>
              <w:left w:val="nil"/>
              <w:bottom w:val="single" w:sz="4" w:space="0" w:color="000000"/>
              <w:right w:val="single" w:sz="4" w:space="0" w:color="000000"/>
            </w:tcBorders>
            <w:shd w:val="clear" w:color="auto" w:fill="B9E0F7"/>
            <w:vAlign w:val="center"/>
          </w:tcPr>
          <w:p w14:paraId="617E3A97" w14:textId="77777777" w:rsidR="00CF438E" w:rsidRPr="00CF438E" w:rsidRDefault="009C79BC" w:rsidP="00AC7481">
            <w:pPr>
              <w:spacing w:after="0" w:line="240" w:lineRule="auto"/>
              <w:jc w:val="center"/>
              <w:rPr>
                <w:rFonts w:ascii="Calibri" w:eastAsia="Calibri" w:hAnsi="Calibri" w:cs="Calibri"/>
                <w:color w:val="000000"/>
              </w:rPr>
            </w:pPr>
            <w:r w:rsidRPr="00CF438E">
              <w:rPr>
                <w:rFonts w:ascii="Calibri" w:eastAsia="Calibri" w:hAnsi="Calibri" w:cs="Calibri"/>
                <w:color w:val="000000"/>
              </w:rPr>
              <w:t xml:space="preserve">Požadovaná dotace </w:t>
            </w:r>
          </w:p>
          <w:p w14:paraId="2E84D787" w14:textId="477B5525" w:rsidR="009C79BC" w:rsidRPr="00CF438E" w:rsidRDefault="009C79BC" w:rsidP="00AC7481">
            <w:pPr>
              <w:spacing w:after="0" w:line="240" w:lineRule="auto"/>
              <w:jc w:val="center"/>
              <w:rPr>
                <w:color w:val="000000"/>
              </w:rPr>
            </w:pPr>
            <w:r w:rsidRPr="00CF438E">
              <w:rPr>
                <w:rFonts w:ascii="Calibri" w:eastAsia="Calibri" w:hAnsi="Calibri" w:cs="Calibri"/>
                <w:color w:val="000000"/>
              </w:rPr>
              <w:t>(mil. Kč)</w:t>
            </w:r>
          </w:p>
        </w:tc>
        <w:tc>
          <w:tcPr>
            <w:tcW w:w="1691" w:type="dxa"/>
            <w:tcBorders>
              <w:top w:val="single" w:sz="4" w:space="0" w:color="000000"/>
              <w:left w:val="single" w:sz="4" w:space="0" w:color="000000"/>
              <w:bottom w:val="single" w:sz="4" w:space="0" w:color="000000"/>
              <w:right w:val="single" w:sz="4" w:space="0" w:color="000000"/>
            </w:tcBorders>
            <w:shd w:val="clear" w:color="auto" w:fill="B9E0F7"/>
            <w:vAlign w:val="center"/>
          </w:tcPr>
          <w:p w14:paraId="7B5B47D2" w14:textId="77777777" w:rsidR="00CF438E" w:rsidRPr="00CF438E" w:rsidRDefault="009C79BC" w:rsidP="00AC7481">
            <w:pPr>
              <w:spacing w:after="0" w:line="240" w:lineRule="auto"/>
              <w:jc w:val="center"/>
              <w:rPr>
                <w:rFonts w:ascii="Calibri" w:eastAsia="Calibri" w:hAnsi="Calibri" w:cs="Calibri"/>
                <w:color w:val="000000"/>
              </w:rPr>
            </w:pPr>
            <w:r w:rsidRPr="00CF438E">
              <w:rPr>
                <w:rFonts w:ascii="Calibri" w:eastAsia="Calibri" w:hAnsi="Calibri" w:cs="Calibri"/>
                <w:color w:val="000000"/>
              </w:rPr>
              <w:t>Náklady</w:t>
            </w:r>
          </w:p>
          <w:p w14:paraId="394D2EC2" w14:textId="77DF2AD6" w:rsidR="009C79BC" w:rsidRPr="00CF438E" w:rsidRDefault="009C79BC" w:rsidP="00AC7481">
            <w:pPr>
              <w:spacing w:after="0" w:line="240" w:lineRule="auto"/>
              <w:jc w:val="center"/>
              <w:rPr>
                <w:color w:val="000000"/>
              </w:rPr>
            </w:pPr>
            <w:r w:rsidRPr="00CF438E">
              <w:rPr>
                <w:rFonts w:ascii="Calibri" w:eastAsia="Calibri" w:hAnsi="Calibri" w:cs="Calibri"/>
                <w:color w:val="000000"/>
              </w:rPr>
              <w:t>(mil. Kč)</w:t>
            </w:r>
          </w:p>
        </w:tc>
      </w:tr>
      <w:tr w:rsidR="009C79BC" w14:paraId="1FE507FA" w14:textId="77777777" w:rsidTr="00D511C2">
        <w:trPr>
          <w:trHeight w:val="340"/>
        </w:trPr>
        <w:tc>
          <w:tcPr>
            <w:tcW w:w="9331" w:type="dxa"/>
            <w:gridSpan w:val="6"/>
            <w:tcBorders>
              <w:top w:val="single" w:sz="4" w:space="0" w:color="000000"/>
              <w:left w:val="single" w:sz="4" w:space="0" w:color="000000"/>
              <w:bottom w:val="single" w:sz="4" w:space="0" w:color="000000"/>
              <w:right w:val="single" w:sz="4" w:space="0" w:color="000000"/>
            </w:tcBorders>
            <w:shd w:val="clear" w:color="auto" w:fill="B9E0F7"/>
            <w:vAlign w:val="center"/>
          </w:tcPr>
          <w:p w14:paraId="7D46CAF5" w14:textId="77777777" w:rsidR="009C79BC" w:rsidRDefault="009C79BC" w:rsidP="009C79BC">
            <w:pPr>
              <w:numPr>
                <w:ilvl w:val="0"/>
                <w:numId w:val="16"/>
              </w:numPr>
              <w:pBdr>
                <w:top w:val="nil"/>
                <w:left w:val="nil"/>
                <w:bottom w:val="nil"/>
                <w:right w:val="nil"/>
                <w:between w:val="nil"/>
              </w:pBdr>
              <w:spacing w:after="0" w:line="240" w:lineRule="auto"/>
              <w:jc w:val="center"/>
              <w:rPr>
                <w:color w:val="000000"/>
              </w:rPr>
            </w:pPr>
            <w:r>
              <w:rPr>
                <w:rFonts w:ascii="Calibri" w:eastAsia="Calibri" w:hAnsi="Calibri" w:cs="Calibri"/>
                <w:color w:val="000000"/>
              </w:rPr>
              <w:t>podprogram Lídři</w:t>
            </w:r>
          </w:p>
        </w:tc>
      </w:tr>
      <w:tr w:rsidR="009C79BC" w14:paraId="4D01FD98"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B5BF" w14:textId="77777777" w:rsidR="009C79BC" w:rsidRDefault="009C79BC" w:rsidP="00AC7481">
            <w:pPr>
              <w:spacing w:after="0" w:line="240" w:lineRule="auto"/>
              <w:jc w:val="center"/>
              <w:rPr>
                <w:color w:val="000000"/>
              </w:rPr>
            </w:pPr>
            <w:r>
              <w:rPr>
                <w:rFonts w:ascii="Calibri" w:eastAsia="Calibri" w:hAnsi="Calibri" w:cs="Calibri"/>
                <w:color w:val="000000"/>
              </w:rPr>
              <w:t>1.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489C3581" w14:textId="77777777" w:rsidR="009C79BC" w:rsidRDefault="009C79BC" w:rsidP="0079438C">
            <w:pPr>
              <w:spacing w:after="0" w:line="240" w:lineRule="auto"/>
              <w:jc w:val="right"/>
            </w:pPr>
            <w:r>
              <w:t>15. 5. 2019</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2BBD7CE4" w14:textId="77777777" w:rsidR="009C79BC" w:rsidRDefault="009C79BC" w:rsidP="0079438C">
            <w:pPr>
              <w:spacing w:after="0" w:line="240" w:lineRule="auto"/>
              <w:jc w:val="right"/>
            </w:pPr>
            <w:r>
              <w:t>12. 12. 2019</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1F6D074E" w14:textId="77777777" w:rsidR="009C79BC" w:rsidRDefault="009C79BC" w:rsidP="009C79BC">
            <w:pPr>
              <w:spacing w:after="0" w:line="240" w:lineRule="auto"/>
              <w:jc w:val="right"/>
              <w:rPr>
                <w:color w:val="000000"/>
                <w:highlight w:val="white"/>
              </w:rPr>
            </w:pPr>
            <w:r>
              <w:rPr>
                <w:highlight w:val="white"/>
              </w:rPr>
              <w:t>396</w:t>
            </w:r>
          </w:p>
        </w:tc>
        <w:tc>
          <w:tcPr>
            <w:tcW w:w="1691" w:type="dxa"/>
            <w:tcBorders>
              <w:top w:val="single" w:sz="4" w:space="0" w:color="000000"/>
              <w:left w:val="nil"/>
              <w:bottom w:val="single" w:sz="4" w:space="0" w:color="000000"/>
              <w:right w:val="single" w:sz="4" w:space="0" w:color="000000"/>
            </w:tcBorders>
            <w:vAlign w:val="center"/>
          </w:tcPr>
          <w:p w14:paraId="34BDF1F6" w14:textId="3AADEC4D" w:rsidR="009C79BC" w:rsidRDefault="009C79BC" w:rsidP="009C79BC">
            <w:pPr>
              <w:spacing w:after="0" w:line="240" w:lineRule="auto"/>
              <w:jc w:val="right"/>
              <w:rPr>
                <w:color w:val="000000"/>
              </w:rPr>
            </w:pPr>
            <w:r>
              <w:t>7 027</w:t>
            </w:r>
          </w:p>
        </w:tc>
        <w:tc>
          <w:tcPr>
            <w:tcW w:w="1691" w:type="dxa"/>
            <w:tcBorders>
              <w:top w:val="single" w:sz="4" w:space="0" w:color="000000"/>
              <w:left w:val="single" w:sz="4" w:space="0" w:color="000000"/>
              <w:bottom w:val="single" w:sz="4" w:space="0" w:color="000000"/>
              <w:right w:val="single" w:sz="4" w:space="0" w:color="000000"/>
            </w:tcBorders>
            <w:vAlign w:val="center"/>
          </w:tcPr>
          <w:p w14:paraId="75F82DCD" w14:textId="42C63977" w:rsidR="009C79BC" w:rsidRDefault="009C79BC" w:rsidP="009C79BC">
            <w:pPr>
              <w:spacing w:after="0" w:line="240" w:lineRule="auto"/>
              <w:jc w:val="right"/>
              <w:rPr>
                <w:color w:val="000000"/>
              </w:rPr>
            </w:pPr>
            <w:r>
              <w:t>10 805</w:t>
            </w:r>
          </w:p>
        </w:tc>
      </w:tr>
      <w:tr w:rsidR="009C79BC" w14:paraId="03D6CCB4"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A8E41" w14:textId="77777777" w:rsidR="009C79BC" w:rsidRDefault="009C79BC" w:rsidP="00AC7481">
            <w:pPr>
              <w:spacing w:after="0" w:line="240" w:lineRule="auto"/>
              <w:jc w:val="center"/>
              <w:rPr>
                <w:color w:val="000000"/>
              </w:rPr>
            </w:pPr>
            <w:r>
              <w:rPr>
                <w:rFonts w:ascii="Calibri" w:eastAsia="Calibri" w:hAnsi="Calibri" w:cs="Calibri"/>
                <w:color w:val="000000"/>
              </w:rPr>
              <w:t>3.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72E02BE0" w14:textId="77777777" w:rsidR="009C79BC" w:rsidRDefault="009C79BC" w:rsidP="0079438C">
            <w:pPr>
              <w:spacing w:after="0" w:line="240" w:lineRule="auto"/>
              <w:jc w:val="right"/>
              <w:rPr>
                <w:color w:val="000000"/>
              </w:rPr>
            </w:pPr>
            <w:r>
              <w:t>29. 4. 2020</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2B2C3153" w14:textId="14A417F8" w:rsidR="009C79BC" w:rsidRDefault="009C79BC" w:rsidP="0079438C">
            <w:pPr>
              <w:spacing w:after="0" w:line="240" w:lineRule="auto"/>
              <w:jc w:val="right"/>
            </w:pPr>
            <w:r>
              <w:t>2</w:t>
            </w:r>
            <w:r w:rsidR="00B66F13">
              <w:t>2</w:t>
            </w:r>
            <w:r>
              <w:t>. 12. 2020</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596D0A7A" w14:textId="77777777" w:rsidR="009C79BC" w:rsidRDefault="009C79BC" w:rsidP="009C79BC">
            <w:pPr>
              <w:spacing w:after="0" w:line="240" w:lineRule="auto"/>
              <w:jc w:val="right"/>
              <w:rPr>
                <w:color w:val="000000"/>
              </w:rPr>
            </w:pPr>
            <w:r>
              <w:t>458</w:t>
            </w:r>
          </w:p>
        </w:tc>
        <w:tc>
          <w:tcPr>
            <w:tcW w:w="1691" w:type="dxa"/>
            <w:tcBorders>
              <w:top w:val="single" w:sz="4" w:space="0" w:color="000000"/>
              <w:left w:val="nil"/>
              <w:bottom w:val="single" w:sz="4" w:space="0" w:color="000000"/>
              <w:right w:val="single" w:sz="4" w:space="0" w:color="000000"/>
            </w:tcBorders>
            <w:vAlign w:val="center"/>
          </w:tcPr>
          <w:p w14:paraId="4737D58B" w14:textId="3D4F2548" w:rsidR="009C79BC" w:rsidRDefault="009C79BC" w:rsidP="009C79BC">
            <w:pPr>
              <w:spacing w:after="0" w:line="240" w:lineRule="auto"/>
              <w:jc w:val="right"/>
              <w:rPr>
                <w:color w:val="000000"/>
              </w:rPr>
            </w:pPr>
            <w:r>
              <w:t>7 507</w:t>
            </w:r>
          </w:p>
        </w:tc>
        <w:tc>
          <w:tcPr>
            <w:tcW w:w="1691" w:type="dxa"/>
            <w:tcBorders>
              <w:top w:val="single" w:sz="4" w:space="0" w:color="000000"/>
              <w:left w:val="single" w:sz="4" w:space="0" w:color="000000"/>
              <w:bottom w:val="single" w:sz="4" w:space="0" w:color="000000"/>
              <w:right w:val="single" w:sz="4" w:space="0" w:color="000000"/>
            </w:tcBorders>
            <w:vAlign w:val="center"/>
          </w:tcPr>
          <w:p w14:paraId="44080C90" w14:textId="49976172" w:rsidR="009C79BC" w:rsidRDefault="009C79BC" w:rsidP="009C79BC">
            <w:pPr>
              <w:spacing w:after="0" w:line="240" w:lineRule="auto"/>
              <w:jc w:val="right"/>
              <w:rPr>
                <w:color w:val="000000"/>
              </w:rPr>
            </w:pPr>
            <w:r>
              <w:t>11 625</w:t>
            </w:r>
          </w:p>
        </w:tc>
      </w:tr>
      <w:tr w:rsidR="009C79BC" w14:paraId="3D85C2FE"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7C771" w14:textId="77777777" w:rsidR="009C79BC" w:rsidRDefault="009C79BC" w:rsidP="00AC7481">
            <w:pPr>
              <w:spacing w:after="0" w:line="240" w:lineRule="auto"/>
              <w:jc w:val="center"/>
              <w:rPr>
                <w:color w:val="000000"/>
              </w:rPr>
            </w:pPr>
            <w:r>
              <w:rPr>
                <w:rFonts w:ascii="Calibri" w:eastAsia="Calibri" w:hAnsi="Calibri" w:cs="Calibri"/>
                <w:color w:val="000000"/>
              </w:rPr>
              <w:t>6.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282B20C7" w14:textId="77777777" w:rsidR="009C79BC" w:rsidRDefault="009C79BC" w:rsidP="0079438C">
            <w:pPr>
              <w:spacing w:after="0" w:line="240" w:lineRule="auto"/>
              <w:jc w:val="right"/>
              <w:rPr>
                <w:color w:val="000000"/>
              </w:rPr>
            </w:pPr>
            <w:r>
              <w:t>27. 4. 2022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19954D42" w14:textId="77777777" w:rsidR="009C79BC" w:rsidRDefault="009C79BC" w:rsidP="0079438C">
            <w:pPr>
              <w:spacing w:after="0" w:line="240" w:lineRule="auto"/>
              <w:jc w:val="right"/>
              <w:rPr>
                <w:color w:val="000000"/>
              </w:rPr>
            </w:pPr>
            <w:r>
              <w:t>14. 12. 2022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0FC1A416" w14:textId="77777777" w:rsidR="009C79BC" w:rsidRDefault="009C79BC" w:rsidP="009C79BC">
            <w:pPr>
              <w:spacing w:after="0" w:line="240" w:lineRule="auto"/>
              <w:jc w:val="right"/>
              <w:rPr>
                <w:color w:val="000000"/>
              </w:rPr>
            </w:pPr>
            <w:r>
              <w:t>539</w:t>
            </w:r>
          </w:p>
        </w:tc>
        <w:tc>
          <w:tcPr>
            <w:tcW w:w="1691" w:type="dxa"/>
            <w:tcBorders>
              <w:top w:val="single" w:sz="4" w:space="0" w:color="000000"/>
              <w:left w:val="nil"/>
              <w:bottom w:val="single" w:sz="4" w:space="0" w:color="000000"/>
              <w:right w:val="single" w:sz="4" w:space="0" w:color="000000"/>
            </w:tcBorders>
            <w:vAlign w:val="center"/>
          </w:tcPr>
          <w:p w14:paraId="12C0A1EF" w14:textId="205616CC" w:rsidR="009C79BC" w:rsidRDefault="009C79BC" w:rsidP="009C79BC">
            <w:pPr>
              <w:spacing w:after="0" w:line="240" w:lineRule="auto"/>
              <w:jc w:val="right"/>
              <w:rPr>
                <w:color w:val="000000"/>
              </w:rPr>
            </w:pPr>
            <w:r>
              <w:t>8 091</w:t>
            </w:r>
          </w:p>
        </w:tc>
        <w:tc>
          <w:tcPr>
            <w:tcW w:w="1691" w:type="dxa"/>
            <w:tcBorders>
              <w:top w:val="single" w:sz="4" w:space="0" w:color="000000"/>
              <w:left w:val="single" w:sz="4" w:space="0" w:color="000000"/>
              <w:bottom w:val="single" w:sz="4" w:space="0" w:color="000000"/>
              <w:right w:val="single" w:sz="4" w:space="0" w:color="000000"/>
            </w:tcBorders>
            <w:vAlign w:val="center"/>
          </w:tcPr>
          <w:p w14:paraId="0310FB4F" w14:textId="4F823CBD" w:rsidR="009C79BC" w:rsidRDefault="009C79BC" w:rsidP="009C79BC">
            <w:pPr>
              <w:spacing w:after="0" w:line="240" w:lineRule="auto"/>
              <w:jc w:val="right"/>
              <w:rPr>
                <w:color w:val="000000"/>
              </w:rPr>
            </w:pPr>
            <w:r>
              <w:t>12 309</w:t>
            </w:r>
          </w:p>
        </w:tc>
      </w:tr>
      <w:tr w:rsidR="009C79BC" w14:paraId="1F7B6432"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65414" w14:textId="77777777" w:rsidR="009C79BC" w:rsidRDefault="009C79BC" w:rsidP="00AC7481">
            <w:pPr>
              <w:spacing w:after="0" w:line="240" w:lineRule="auto"/>
              <w:jc w:val="center"/>
              <w:rPr>
                <w:color w:val="000000"/>
              </w:rPr>
            </w:pPr>
            <w:r>
              <w:rPr>
                <w:rFonts w:ascii="Calibri" w:eastAsia="Calibri" w:hAnsi="Calibri" w:cs="Calibri"/>
                <w:color w:val="000000"/>
              </w:rPr>
              <w:t>7.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552470E2" w14:textId="77777777" w:rsidR="009C79BC" w:rsidRDefault="009C79BC" w:rsidP="0079438C">
            <w:pPr>
              <w:spacing w:after="0" w:line="240" w:lineRule="auto"/>
              <w:jc w:val="right"/>
              <w:rPr>
                <w:color w:val="000000"/>
              </w:rPr>
            </w:pPr>
            <w:r>
              <w:t>27. 4. 2022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720B8456" w14:textId="77777777" w:rsidR="009C79BC" w:rsidRDefault="009C79BC" w:rsidP="0079438C">
            <w:pPr>
              <w:spacing w:after="0" w:line="240" w:lineRule="auto"/>
              <w:jc w:val="right"/>
              <w:rPr>
                <w:color w:val="000000"/>
              </w:rPr>
            </w:pPr>
            <w:r>
              <w:t>14. 12. 2022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3EE0C935" w14:textId="77777777" w:rsidR="009C79BC" w:rsidRDefault="009C79BC" w:rsidP="009C79BC">
            <w:pPr>
              <w:spacing w:after="0" w:line="240" w:lineRule="auto"/>
              <w:jc w:val="right"/>
              <w:rPr>
                <w:color w:val="000000"/>
              </w:rPr>
            </w:pPr>
            <w:r>
              <w:t>13</w:t>
            </w:r>
          </w:p>
        </w:tc>
        <w:tc>
          <w:tcPr>
            <w:tcW w:w="1691" w:type="dxa"/>
            <w:tcBorders>
              <w:top w:val="single" w:sz="4" w:space="0" w:color="000000"/>
              <w:left w:val="nil"/>
              <w:bottom w:val="single" w:sz="4" w:space="0" w:color="000000"/>
              <w:right w:val="single" w:sz="4" w:space="0" w:color="000000"/>
            </w:tcBorders>
            <w:vAlign w:val="center"/>
          </w:tcPr>
          <w:p w14:paraId="5093DABB" w14:textId="77777777" w:rsidR="009C79BC" w:rsidRDefault="009C79BC" w:rsidP="009C79BC">
            <w:pPr>
              <w:spacing w:after="0" w:line="240" w:lineRule="auto"/>
              <w:jc w:val="right"/>
              <w:rPr>
                <w:color w:val="000000"/>
              </w:rPr>
            </w:pPr>
            <w:r>
              <w:t>159</w:t>
            </w:r>
          </w:p>
        </w:tc>
        <w:tc>
          <w:tcPr>
            <w:tcW w:w="1691" w:type="dxa"/>
            <w:tcBorders>
              <w:top w:val="single" w:sz="4" w:space="0" w:color="000000"/>
              <w:left w:val="single" w:sz="4" w:space="0" w:color="000000"/>
              <w:bottom w:val="single" w:sz="4" w:space="0" w:color="000000"/>
              <w:right w:val="single" w:sz="4" w:space="0" w:color="000000"/>
            </w:tcBorders>
            <w:vAlign w:val="center"/>
          </w:tcPr>
          <w:p w14:paraId="533B2807" w14:textId="77777777" w:rsidR="009C79BC" w:rsidRDefault="009C79BC" w:rsidP="009C79BC">
            <w:pPr>
              <w:spacing w:after="0" w:line="240" w:lineRule="auto"/>
              <w:jc w:val="right"/>
              <w:rPr>
                <w:color w:val="000000"/>
              </w:rPr>
            </w:pPr>
            <w:r>
              <w:t>240</w:t>
            </w:r>
          </w:p>
        </w:tc>
      </w:tr>
      <w:tr w:rsidR="009C79BC" w14:paraId="08CC9BE8"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F88DC" w14:textId="77777777" w:rsidR="009C79BC" w:rsidRDefault="009C79BC" w:rsidP="00AC7481">
            <w:pPr>
              <w:spacing w:after="0" w:line="240" w:lineRule="auto"/>
              <w:jc w:val="center"/>
              <w:rPr>
                <w:color w:val="000000"/>
              </w:rPr>
            </w:pPr>
            <w:r>
              <w:rPr>
                <w:rFonts w:ascii="Calibri" w:eastAsia="Calibri" w:hAnsi="Calibri" w:cs="Calibri"/>
                <w:color w:val="000000"/>
              </w:rPr>
              <w:t>8.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5DF250B0" w14:textId="77777777" w:rsidR="009C79BC" w:rsidRDefault="009C79BC" w:rsidP="0079438C">
            <w:pPr>
              <w:spacing w:after="0" w:line="240" w:lineRule="auto"/>
              <w:jc w:val="right"/>
              <w:rPr>
                <w:color w:val="000000"/>
              </w:rPr>
            </w:pPr>
            <w:r>
              <w:t>5. 10. 2022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340E57F0" w14:textId="77777777" w:rsidR="009C79BC" w:rsidRDefault="009C79BC" w:rsidP="0079438C">
            <w:pPr>
              <w:spacing w:after="0" w:line="240" w:lineRule="auto"/>
              <w:jc w:val="right"/>
              <w:rPr>
                <w:color w:val="000000"/>
              </w:rPr>
            </w:pPr>
            <w:r>
              <w:t>24. 5. 2023</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25507086" w14:textId="77777777" w:rsidR="009C79BC" w:rsidRDefault="009C79BC" w:rsidP="009C79BC">
            <w:pPr>
              <w:spacing w:after="0" w:line="240" w:lineRule="auto"/>
              <w:jc w:val="right"/>
              <w:rPr>
                <w:color w:val="000000"/>
              </w:rPr>
            </w:pPr>
            <w:r>
              <w:t>28</w:t>
            </w:r>
          </w:p>
        </w:tc>
        <w:tc>
          <w:tcPr>
            <w:tcW w:w="1691" w:type="dxa"/>
            <w:tcBorders>
              <w:top w:val="single" w:sz="4" w:space="0" w:color="000000"/>
              <w:left w:val="nil"/>
              <w:bottom w:val="single" w:sz="4" w:space="0" w:color="000000"/>
              <w:right w:val="single" w:sz="4" w:space="0" w:color="000000"/>
            </w:tcBorders>
            <w:vAlign w:val="center"/>
          </w:tcPr>
          <w:p w14:paraId="19F99275" w14:textId="77777777" w:rsidR="009C79BC" w:rsidRDefault="009C79BC" w:rsidP="009C79BC">
            <w:pPr>
              <w:spacing w:after="0" w:line="240" w:lineRule="auto"/>
              <w:jc w:val="right"/>
              <w:rPr>
                <w:color w:val="000000"/>
              </w:rPr>
            </w:pPr>
            <w:r>
              <w:t>305</w:t>
            </w:r>
          </w:p>
        </w:tc>
        <w:tc>
          <w:tcPr>
            <w:tcW w:w="1691" w:type="dxa"/>
            <w:tcBorders>
              <w:top w:val="single" w:sz="4" w:space="0" w:color="000000"/>
              <w:left w:val="single" w:sz="4" w:space="0" w:color="000000"/>
              <w:bottom w:val="single" w:sz="4" w:space="0" w:color="000000"/>
              <w:right w:val="single" w:sz="4" w:space="0" w:color="000000"/>
            </w:tcBorders>
            <w:vAlign w:val="center"/>
          </w:tcPr>
          <w:p w14:paraId="16745AD0" w14:textId="77777777" w:rsidR="009C79BC" w:rsidRDefault="009C79BC" w:rsidP="009C79BC">
            <w:pPr>
              <w:spacing w:after="0" w:line="240" w:lineRule="auto"/>
              <w:jc w:val="right"/>
              <w:rPr>
                <w:color w:val="000000"/>
              </w:rPr>
            </w:pPr>
            <w:r>
              <w:t>465</w:t>
            </w:r>
          </w:p>
        </w:tc>
      </w:tr>
      <w:tr w:rsidR="009C79BC" w14:paraId="565DFAF2"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5CB8E" w14:textId="77777777" w:rsidR="009C79BC" w:rsidRDefault="009C79BC" w:rsidP="00AC7481">
            <w:pPr>
              <w:spacing w:after="0" w:line="240" w:lineRule="auto"/>
              <w:jc w:val="center"/>
              <w:rPr>
                <w:color w:val="000000"/>
              </w:rPr>
            </w:pPr>
            <w:r>
              <w:rPr>
                <w:rFonts w:ascii="Calibri" w:eastAsia="Calibri" w:hAnsi="Calibri" w:cs="Calibri"/>
                <w:color w:val="000000"/>
              </w:rPr>
              <w:t>10.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23DEC9E0" w14:textId="77777777" w:rsidR="009C79BC" w:rsidRDefault="009C79BC" w:rsidP="0079438C">
            <w:pPr>
              <w:spacing w:after="0" w:line="240" w:lineRule="auto"/>
              <w:jc w:val="right"/>
              <w:rPr>
                <w:color w:val="000000"/>
              </w:rPr>
            </w:pPr>
            <w:r>
              <w:t>5. 4. 2023</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34F34E33" w14:textId="77777777" w:rsidR="009C79BC" w:rsidRDefault="009C79BC" w:rsidP="0079438C">
            <w:pPr>
              <w:spacing w:after="0" w:line="240" w:lineRule="auto"/>
              <w:jc w:val="right"/>
              <w:rPr>
                <w:color w:val="000000"/>
              </w:rPr>
            </w:pPr>
            <w:r>
              <w:t>29. 11. 2023</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750BBA5D" w14:textId="77777777" w:rsidR="009C79BC" w:rsidRDefault="009C79BC" w:rsidP="009C79BC">
            <w:pPr>
              <w:spacing w:after="0" w:line="240" w:lineRule="auto"/>
              <w:jc w:val="right"/>
              <w:rPr>
                <w:color w:val="000000"/>
              </w:rPr>
            </w:pPr>
            <w:r>
              <w:t>388</w:t>
            </w:r>
          </w:p>
        </w:tc>
        <w:tc>
          <w:tcPr>
            <w:tcW w:w="1691" w:type="dxa"/>
            <w:tcBorders>
              <w:top w:val="single" w:sz="4" w:space="0" w:color="000000"/>
              <w:left w:val="nil"/>
              <w:bottom w:val="single" w:sz="4" w:space="0" w:color="000000"/>
              <w:right w:val="single" w:sz="4" w:space="0" w:color="000000"/>
            </w:tcBorders>
            <w:vAlign w:val="center"/>
          </w:tcPr>
          <w:p w14:paraId="5DF978B2" w14:textId="21B54935" w:rsidR="009C79BC" w:rsidRDefault="009C79BC" w:rsidP="009C79BC">
            <w:pPr>
              <w:spacing w:after="0" w:line="240" w:lineRule="auto"/>
              <w:jc w:val="right"/>
              <w:rPr>
                <w:color w:val="000000"/>
              </w:rPr>
            </w:pPr>
            <w:r>
              <w:t>5 302</w:t>
            </w:r>
          </w:p>
        </w:tc>
        <w:tc>
          <w:tcPr>
            <w:tcW w:w="1691" w:type="dxa"/>
            <w:tcBorders>
              <w:top w:val="single" w:sz="4" w:space="0" w:color="000000"/>
              <w:left w:val="single" w:sz="4" w:space="0" w:color="000000"/>
              <w:bottom w:val="single" w:sz="4" w:space="0" w:color="000000"/>
              <w:right w:val="single" w:sz="4" w:space="0" w:color="000000"/>
            </w:tcBorders>
            <w:vAlign w:val="center"/>
          </w:tcPr>
          <w:p w14:paraId="469828B1" w14:textId="5260EED5" w:rsidR="009C79BC" w:rsidRDefault="009C79BC" w:rsidP="009C79BC">
            <w:pPr>
              <w:spacing w:after="0" w:line="240" w:lineRule="auto"/>
              <w:jc w:val="right"/>
              <w:rPr>
                <w:color w:val="000000"/>
              </w:rPr>
            </w:pPr>
            <w:r>
              <w:t>8 165</w:t>
            </w:r>
          </w:p>
        </w:tc>
      </w:tr>
      <w:tr w:rsidR="0030650E" w14:paraId="23AAB00E"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D4C0AD" w14:textId="57C1C6C2" w:rsidR="0030650E" w:rsidRPr="0030650E" w:rsidRDefault="0030650E" w:rsidP="00AC7481">
            <w:pPr>
              <w:spacing w:after="0" w:line="240" w:lineRule="auto"/>
              <w:jc w:val="center"/>
              <w:rPr>
                <w:rFonts w:ascii="Calibri" w:eastAsia="Calibri" w:hAnsi="Calibri" w:cs="Calibri"/>
                <w:i/>
                <w:iCs/>
                <w:color w:val="000000"/>
              </w:rPr>
            </w:pPr>
            <w:r w:rsidRPr="0030650E">
              <w:rPr>
                <w:rFonts w:ascii="Calibri" w:eastAsia="Calibri" w:hAnsi="Calibri" w:cs="Calibri"/>
                <w:i/>
                <w:iCs/>
                <w:color w:val="000000"/>
              </w:rPr>
              <w:t>12. VS</w:t>
            </w:r>
          </w:p>
        </w:tc>
        <w:tc>
          <w:tcPr>
            <w:tcW w:w="1690"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66F0B48A" w14:textId="5466D593" w:rsidR="0030650E" w:rsidRPr="0030650E" w:rsidRDefault="0030650E" w:rsidP="0079438C">
            <w:pPr>
              <w:spacing w:after="0" w:line="240" w:lineRule="auto"/>
              <w:jc w:val="right"/>
              <w:rPr>
                <w:i/>
                <w:iCs/>
              </w:rPr>
            </w:pPr>
            <w:r w:rsidRPr="0030650E">
              <w:rPr>
                <w:i/>
                <w:iCs/>
              </w:rPr>
              <w:t>26. 6. 2024</w:t>
            </w:r>
          </w:p>
        </w:tc>
        <w:tc>
          <w:tcPr>
            <w:tcW w:w="1691"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3B4B108A" w14:textId="1DEA0A90" w:rsidR="0030650E" w:rsidRPr="0030650E" w:rsidRDefault="0030650E" w:rsidP="0079438C">
            <w:pPr>
              <w:spacing w:after="0" w:line="240" w:lineRule="auto"/>
              <w:jc w:val="right"/>
              <w:rPr>
                <w:i/>
                <w:iCs/>
              </w:rPr>
            </w:pPr>
            <w:r w:rsidRPr="0030650E">
              <w:rPr>
                <w:i/>
                <w:iCs/>
              </w:rPr>
              <w:t>v hodnocení</w:t>
            </w:r>
          </w:p>
        </w:tc>
        <w:tc>
          <w:tcPr>
            <w:tcW w:w="1691"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49C64204" w14:textId="0456AA5B" w:rsidR="0030650E" w:rsidRDefault="0030650E" w:rsidP="009C79BC">
            <w:pPr>
              <w:spacing w:after="0" w:line="240" w:lineRule="auto"/>
              <w:jc w:val="right"/>
            </w:pPr>
            <w:r>
              <w:t>-</w:t>
            </w:r>
          </w:p>
        </w:tc>
        <w:tc>
          <w:tcPr>
            <w:tcW w:w="1691"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5DF8305" w14:textId="0BD21DEF" w:rsidR="0030650E" w:rsidRPr="0030650E" w:rsidRDefault="0030650E" w:rsidP="009C79BC">
            <w:pPr>
              <w:spacing w:after="0" w:line="240" w:lineRule="auto"/>
              <w:jc w:val="right"/>
            </w:pPr>
            <w:r w:rsidRPr="0030650E">
              <w:t>-</w:t>
            </w:r>
          </w:p>
        </w:tc>
        <w:tc>
          <w:tcPr>
            <w:tcW w:w="16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B24269" w14:textId="16D30822" w:rsidR="0030650E" w:rsidRPr="0030650E" w:rsidRDefault="0030650E" w:rsidP="009C79BC">
            <w:pPr>
              <w:spacing w:after="0" w:line="240" w:lineRule="auto"/>
              <w:jc w:val="right"/>
            </w:pPr>
            <w:r w:rsidRPr="0030650E">
              <w:t>-</w:t>
            </w:r>
          </w:p>
        </w:tc>
      </w:tr>
      <w:tr w:rsidR="009C79BC" w14:paraId="7FD837B1" w14:textId="77777777" w:rsidTr="00D511C2">
        <w:trPr>
          <w:trHeight w:val="340"/>
        </w:trPr>
        <w:tc>
          <w:tcPr>
            <w:tcW w:w="9331" w:type="dxa"/>
            <w:gridSpan w:val="6"/>
            <w:tcBorders>
              <w:top w:val="single" w:sz="4" w:space="0" w:color="000000"/>
              <w:left w:val="single" w:sz="4" w:space="0" w:color="000000"/>
              <w:bottom w:val="single" w:sz="4" w:space="0" w:color="000000"/>
              <w:right w:val="single" w:sz="4" w:space="0" w:color="000000"/>
            </w:tcBorders>
            <w:shd w:val="clear" w:color="auto" w:fill="B9E0F7"/>
            <w:vAlign w:val="center"/>
          </w:tcPr>
          <w:p w14:paraId="6E70FE49" w14:textId="77777777" w:rsidR="009C79BC" w:rsidRDefault="009C79BC" w:rsidP="009C79BC">
            <w:pPr>
              <w:numPr>
                <w:ilvl w:val="0"/>
                <w:numId w:val="16"/>
              </w:numPr>
              <w:pBdr>
                <w:top w:val="nil"/>
                <w:left w:val="nil"/>
                <w:bottom w:val="nil"/>
                <w:right w:val="nil"/>
                <w:between w:val="nil"/>
              </w:pBdr>
              <w:spacing w:after="0" w:line="240" w:lineRule="auto"/>
              <w:jc w:val="center"/>
              <w:rPr>
                <w:color w:val="000000"/>
              </w:rPr>
            </w:pPr>
            <w:r>
              <w:rPr>
                <w:rFonts w:ascii="Calibri" w:eastAsia="Calibri" w:hAnsi="Calibri" w:cs="Calibri"/>
                <w:color w:val="000000"/>
              </w:rPr>
              <w:t>podprogram Nováčci</w:t>
            </w:r>
          </w:p>
        </w:tc>
      </w:tr>
      <w:tr w:rsidR="009C79BC" w14:paraId="2541CC7E"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D8733" w14:textId="77777777" w:rsidR="009C79BC" w:rsidRDefault="009C79BC" w:rsidP="00AC7481">
            <w:pPr>
              <w:spacing w:after="0" w:line="240" w:lineRule="auto"/>
              <w:jc w:val="center"/>
              <w:rPr>
                <w:color w:val="000000"/>
              </w:rPr>
            </w:pPr>
            <w:r>
              <w:rPr>
                <w:rFonts w:ascii="Calibri" w:eastAsia="Calibri" w:hAnsi="Calibri" w:cs="Calibri"/>
                <w:color w:val="000000"/>
              </w:rPr>
              <w:t>2.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619879C8" w14:textId="77777777" w:rsidR="009C79BC" w:rsidRDefault="009C79BC" w:rsidP="0079438C">
            <w:pPr>
              <w:spacing w:after="0" w:line="240" w:lineRule="auto"/>
              <w:jc w:val="right"/>
            </w:pPr>
            <w:r>
              <w:t>19. 2. 2020</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3184C7B9" w14:textId="77777777" w:rsidR="009C79BC" w:rsidRDefault="009C79BC" w:rsidP="0079438C">
            <w:pPr>
              <w:spacing w:after="0" w:line="240" w:lineRule="auto"/>
              <w:jc w:val="right"/>
            </w:pPr>
            <w:r>
              <w:t>31. 8. 2020</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4DEEC46C" w14:textId="77777777" w:rsidR="009C79BC" w:rsidRDefault="009C79BC" w:rsidP="009C79BC">
            <w:pPr>
              <w:spacing w:after="0" w:line="240" w:lineRule="auto"/>
              <w:jc w:val="right"/>
              <w:rPr>
                <w:color w:val="000000"/>
              </w:rPr>
            </w:pPr>
            <w:r>
              <w:t>123</w:t>
            </w:r>
          </w:p>
        </w:tc>
        <w:tc>
          <w:tcPr>
            <w:tcW w:w="1691" w:type="dxa"/>
            <w:tcBorders>
              <w:top w:val="single" w:sz="4" w:space="0" w:color="000000"/>
              <w:left w:val="nil"/>
              <w:bottom w:val="single" w:sz="4" w:space="0" w:color="000000"/>
              <w:right w:val="single" w:sz="4" w:space="0" w:color="000000"/>
            </w:tcBorders>
            <w:vAlign w:val="center"/>
          </w:tcPr>
          <w:p w14:paraId="5BF23042" w14:textId="6BB748DA" w:rsidR="009C79BC" w:rsidRDefault="009C79BC" w:rsidP="009C79BC">
            <w:pPr>
              <w:spacing w:after="0" w:line="240" w:lineRule="auto"/>
              <w:jc w:val="right"/>
              <w:rPr>
                <w:color w:val="000000"/>
              </w:rPr>
            </w:pPr>
            <w:r>
              <w:t>1 087</w:t>
            </w:r>
          </w:p>
        </w:tc>
        <w:tc>
          <w:tcPr>
            <w:tcW w:w="1691" w:type="dxa"/>
            <w:tcBorders>
              <w:top w:val="single" w:sz="4" w:space="0" w:color="000000"/>
              <w:left w:val="single" w:sz="4" w:space="0" w:color="000000"/>
              <w:bottom w:val="single" w:sz="4" w:space="0" w:color="000000"/>
              <w:right w:val="single" w:sz="4" w:space="0" w:color="000000"/>
            </w:tcBorders>
            <w:vAlign w:val="center"/>
          </w:tcPr>
          <w:p w14:paraId="753249B0" w14:textId="5C41ABF1" w:rsidR="009C79BC" w:rsidRDefault="009C79BC" w:rsidP="009C79BC">
            <w:pPr>
              <w:spacing w:after="0" w:line="240" w:lineRule="auto"/>
              <w:jc w:val="right"/>
              <w:rPr>
                <w:color w:val="000000"/>
              </w:rPr>
            </w:pPr>
            <w:r>
              <w:t>1 485</w:t>
            </w:r>
          </w:p>
        </w:tc>
      </w:tr>
      <w:tr w:rsidR="009C79BC" w14:paraId="42124680"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B272" w14:textId="77777777" w:rsidR="009C79BC" w:rsidRDefault="009C79BC" w:rsidP="00AC7481">
            <w:pPr>
              <w:spacing w:after="0" w:line="240" w:lineRule="auto"/>
              <w:jc w:val="center"/>
              <w:rPr>
                <w:color w:val="000000"/>
              </w:rPr>
            </w:pPr>
            <w:r>
              <w:rPr>
                <w:rFonts w:ascii="Calibri" w:eastAsia="Calibri" w:hAnsi="Calibri" w:cs="Calibri"/>
                <w:color w:val="000000"/>
              </w:rPr>
              <w:t>4.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2E20B3DB" w14:textId="77777777" w:rsidR="009C79BC" w:rsidRDefault="009C79BC" w:rsidP="0079438C">
            <w:pPr>
              <w:spacing w:after="0" w:line="240" w:lineRule="auto"/>
              <w:jc w:val="right"/>
              <w:rPr>
                <w:color w:val="000000"/>
              </w:rPr>
            </w:pPr>
            <w:r>
              <w:t>10. 3. 2021</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26B5B519" w14:textId="4CF3174F" w:rsidR="009C79BC" w:rsidRPr="009C79BC" w:rsidRDefault="009C79BC" w:rsidP="0079438C">
            <w:pPr>
              <w:spacing w:after="0" w:line="240" w:lineRule="auto"/>
              <w:jc w:val="right"/>
            </w:pPr>
            <w:r>
              <w:t>30. 11. 2021</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23F139DB" w14:textId="77777777" w:rsidR="009C79BC" w:rsidRDefault="009C79BC" w:rsidP="009C79BC">
            <w:pPr>
              <w:spacing w:after="0" w:line="240" w:lineRule="auto"/>
              <w:jc w:val="right"/>
              <w:rPr>
                <w:color w:val="000000"/>
              </w:rPr>
            </w:pPr>
            <w:r>
              <w:t>145</w:t>
            </w:r>
          </w:p>
        </w:tc>
        <w:tc>
          <w:tcPr>
            <w:tcW w:w="1691" w:type="dxa"/>
            <w:tcBorders>
              <w:top w:val="single" w:sz="4" w:space="0" w:color="000000"/>
              <w:left w:val="nil"/>
              <w:bottom w:val="single" w:sz="4" w:space="0" w:color="000000"/>
              <w:right w:val="single" w:sz="4" w:space="0" w:color="000000"/>
            </w:tcBorders>
            <w:vAlign w:val="center"/>
          </w:tcPr>
          <w:p w14:paraId="78453BC1" w14:textId="7172CD7A" w:rsidR="009C79BC" w:rsidRDefault="009C79BC" w:rsidP="009C79BC">
            <w:pPr>
              <w:spacing w:after="0" w:line="240" w:lineRule="auto"/>
              <w:jc w:val="right"/>
              <w:rPr>
                <w:color w:val="000000"/>
              </w:rPr>
            </w:pPr>
            <w:r>
              <w:t>1 386</w:t>
            </w:r>
          </w:p>
        </w:tc>
        <w:tc>
          <w:tcPr>
            <w:tcW w:w="1691" w:type="dxa"/>
            <w:tcBorders>
              <w:top w:val="single" w:sz="4" w:space="0" w:color="000000"/>
              <w:left w:val="single" w:sz="4" w:space="0" w:color="000000"/>
              <w:bottom w:val="single" w:sz="4" w:space="0" w:color="000000"/>
              <w:right w:val="single" w:sz="4" w:space="0" w:color="000000"/>
            </w:tcBorders>
            <w:vAlign w:val="center"/>
          </w:tcPr>
          <w:p w14:paraId="131259F8" w14:textId="5E6E28AC" w:rsidR="009C79BC" w:rsidRDefault="009C79BC" w:rsidP="009C79BC">
            <w:pPr>
              <w:spacing w:after="0" w:line="240" w:lineRule="auto"/>
              <w:jc w:val="right"/>
              <w:rPr>
                <w:color w:val="000000"/>
              </w:rPr>
            </w:pPr>
            <w:r>
              <w:t>1 873</w:t>
            </w:r>
          </w:p>
        </w:tc>
      </w:tr>
      <w:tr w:rsidR="009C79BC" w14:paraId="0C530EEE"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7A4F" w14:textId="77777777" w:rsidR="009C79BC" w:rsidRDefault="009C79BC" w:rsidP="00AC7481">
            <w:pPr>
              <w:spacing w:after="0" w:line="240" w:lineRule="auto"/>
              <w:jc w:val="center"/>
              <w:rPr>
                <w:color w:val="000000"/>
              </w:rPr>
            </w:pPr>
            <w:r>
              <w:rPr>
                <w:rFonts w:ascii="Calibri" w:eastAsia="Calibri" w:hAnsi="Calibri" w:cs="Calibri"/>
                <w:color w:val="000000"/>
              </w:rPr>
              <w:t>9.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4F8C126C" w14:textId="77777777" w:rsidR="009C79BC" w:rsidRDefault="009C79BC" w:rsidP="0079438C">
            <w:pPr>
              <w:spacing w:after="0" w:line="240" w:lineRule="auto"/>
              <w:jc w:val="right"/>
              <w:rPr>
                <w:color w:val="000000"/>
              </w:rPr>
            </w:pPr>
            <w:r>
              <w:t>23. 11. 2022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4BAB9E63" w14:textId="77777777" w:rsidR="009C79BC" w:rsidRDefault="009C79BC" w:rsidP="0079438C">
            <w:pPr>
              <w:spacing w:after="0" w:line="240" w:lineRule="auto"/>
              <w:jc w:val="right"/>
              <w:rPr>
                <w:color w:val="000000"/>
              </w:rPr>
            </w:pPr>
            <w:r>
              <w:t>22. 6. 2023</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11E81E0D" w14:textId="77777777" w:rsidR="009C79BC" w:rsidRDefault="009C79BC" w:rsidP="009C79BC">
            <w:pPr>
              <w:spacing w:after="0" w:line="240" w:lineRule="auto"/>
              <w:jc w:val="right"/>
              <w:rPr>
                <w:color w:val="000000"/>
              </w:rPr>
            </w:pPr>
            <w:r>
              <w:t>101</w:t>
            </w:r>
          </w:p>
        </w:tc>
        <w:tc>
          <w:tcPr>
            <w:tcW w:w="1691" w:type="dxa"/>
            <w:tcBorders>
              <w:top w:val="single" w:sz="4" w:space="0" w:color="000000"/>
              <w:left w:val="nil"/>
              <w:bottom w:val="single" w:sz="4" w:space="0" w:color="000000"/>
              <w:right w:val="single" w:sz="4" w:space="0" w:color="000000"/>
            </w:tcBorders>
            <w:vAlign w:val="center"/>
          </w:tcPr>
          <w:p w14:paraId="10D58349" w14:textId="77777777" w:rsidR="009C79BC" w:rsidRDefault="009C79BC" w:rsidP="009C79BC">
            <w:pPr>
              <w:spacing w:after="0" w:line="240" w:lineRule="auto"/>
              <w:jc w:val="right"/>
              <w:rPr>
                <w:color w:val="000000"/>
              </w:rPr>
            </w:pPr>
            <w:r>
              <w:t>978</w:t>
            </w:r>
          </w:p>
        </w:tc>
        <w:tc>
          <w:tcPr>
            <w:tcW w:w="1691" w:type="dxa"/>
            <w:tcBorders>
              <w:top w:val="single" w:sz="4" w:space="0" w:color="000000"/>
              <w:left w:val="single" w:sz="4" w:space="0" w:color="000000"/>
              <w:bottom w:val="single" w:sz="4" w:space="0" w:color="000000"/>
              <w:right w:val="single" w:sz="4" w:space="0" w:color="000000"/>
            </w:tcBorders>
            <w:vAlign w:val="center"/>
          </w:tcPr>
          <w:p w14:paraId="6A1A4196" w14:textId="431B2C72" w:rsidR="009C79BC" w:rsidRDefault="009C79BC" w:rsidP="009C79BC">
            <w:pPr>
              <w:spacing w:after="0" w:line="240" w:lineRule="auto"/>
              <w:jc w:val="right"/>
              <w:rPr>
                <w:color w:val="000000"/>
              </w:rPr>
            </w:pPr>
            <w:r>
              <w:t>1 329</w:t>
            </w:r>
          </w:p>
        </w:tc>
      </w:tr>
      <w:tr w:rsidR="009C79BC" w14:paraId="0DE70503" w14:textId="77777777" w:rsidTr="00D511C2">
        <w:trPr>
          <w:trHeight w:val="340"/>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8877" w14:textId="77777777" w:rsidR="009C79BC" w:rsidRDefault="009C79BC" w:rsidP="00AC7481">
            <w:pPr>
              <w:spacing w:after="0" w:line="240" w:lineRule="auto"/>
              <w:jc w:val="center"/>
              <w:rPr>
                <w:color w:val="000000"/>
              </w:rPr>
            </w:pPr>
            <w:r>
              <w:rPr>
                <w:rFonts w:ascii="Calibri" w:eastAsia="Calibri" w:hAnsi="Calibri" w:cs="Calibri"/>
                <w:color w:val="000000"/>
              </w:rPr>
              <w:t>11. VS</w:t>
            </w:r>
          </w:p>
        </w:tc>
        <w:tc>
          <w:tcPr>
            <w:tcW w:w="1690" w:type="dxa"/>
            <w:tcBorders>
              <w:top w:val="single" w:sz="4" w:space="0" w:color="000000"/>
              <w:left w:val="nil"/>
              <w:bottom w:val="single" w:sz="4" w:space="0" w:color="000000"/>
              <w:right w:val="single" w:sz="4" w:space="0" w:color="000000"/>
            </w:tcBorders>
            <w:shd w:val="clear" w:color="auto" w:fill="auto"/>
            <w:vAlign w:val="center"/>
          </w:tcPr>
          <w:p w14:paraId="1D302C6D" w14:textId="77777777" w:rsidR="009C79BC" w:rsidRDefault="009C79BC" w:rsidP="0079438C">
            <w:pPr>
              <w:spacing w:after="0" w:line="240" w:lineRule="auto"/>
              <w:jc w:val="right"/>
              <w:rPr>
                <w:color w:val="000000"/>
              </w:rPr>
            </w:pPr>
            <w:r>
              <w:t>4. 10. 2023</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5C251A5A" w14:textId="3C6F084A" w:rsidR="009C79BC" w:rsidRDefault="0030650E" w:rsidP="0079438C">
            <w:pPr>
              <w:spacing w:after="0" w:line="240" w:lineRule="auto"/>
              <w:jc w:val="right"/>
              <w:rPr>
                <w:color w:val="000000"/>
              </w:rPr>
            </w:pPr>
            <w:r>
              <w:t>31. 5. 2024</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1670D6D9" w14:textId="431D4ABB" w:rsidR="009C79BC" w:rsidRPr="00DD0127" w:rsidRDefault="006623BD" w:rsidP="009C79BC">
            <w:pPr>
              <w:spacing w:after="0" w:line="240" w:lineRule="auto"/>
              <w:jc w:val="right"/>
              <w:rPr>
                <w:color w:val="000000"/>
              </w:rPr>
            </w:pPr>
            <w:r w:rsidRPr="00DD0127">
              <w:t>121</w:t>
            </w:r>
          </w:p>
        </w:tc>
        <w:tc>
          <w:tcPr>
            <w:tcW w:w="1691" w:type="dxa"/>
            <w:tcBorders>
              <w:top w:val="single" w:sz="4" w:space="0" w:color="000000"/>
              <w:left w:val="nil"/>
              <w:bottom w:val="single" w:sz="4" w:space="0" w:color="000000"/>
              <w:right w:val="single" w:sz="4" w:space="0" w:color="000000"/>
            </w:tcBorders>
            <w:vAlign w:val="center"/>
          </w:tcPr>
          <w:p w14:paraId="01EF08BF" w14:textId="78058A99" w:rsidR="009C79BC" w:rsidRPr="00DD0127" w:rsidRDefault="006623BD" w:rsidP="009C79BC">
            <w:pPr>
              <w:spacing w:after="0" w:line="240" w:lineRule="auto"/>
              <w:jc w:val="right"/>
              <w:rPr>
                <w:color w:val="000000"/>
              </w:rPr>
            </w:pPr>
            <w:r w:rsidRPr="00DD0127">
              <w:t>1 3</w:t>
            </w:r>
            <w:r w:rsidR="00DD0127" w:rsidRPr="00DD0127">
              <w:t>35</w:t>
            </w:r>
          </w:p>
        </w:tc>
        <w:tc>
          <w:tcPr>
            <w:tcW w:w="1691" w:type="dxa"/>
            <w:tcBorders>
              <w:top w:val="single" w:sz="4" w:space="0" w:color="000000"/>
              <w:left w:val="single" w:sz="4" w:space="0" w:color="000000"/>
              <w:bottom w:val="single" w:sz="4" w:space="0" w:color="000000"/>
              <w:right w:val="single" w:sz="4" w:space="0" w:color="000000"/>
            </w:tcBorders>
            <w:vAlign w:val="center"/>
          </w:tcPr>
          <w:p w14:paraId="4A2F268E" w14:textId="69A30E65" w:rsidR="009C79BC" w:rsidRPr="00DD0127" w:rsidRDefault="00DD0127" w:rsidP="009C79BC">
            <w:pPr>
              <w:spacing w:after="0" w:line="240" w:lineRule="auto"/>
              <w:jc w:val="right"/>
              <w:rPr>
                <w:color w:val="000000"/>
              </w:rPr>
            </w:pPr>
            <w:r w:rsidRPr="00DD0127">
              <w:t>1</w:t>
            </w:r>
            <w:r w:rsidR="0082446A">
              <w:t> </w:t>
            </w:r>
            <w:r w:rsidRPr="00DD0127">
              <w:t>786</w:t>
            </w:r>
          </w:p>
        </w:tc>
      </w:tr>
      <w:tr w:rsidR="009C79BC" w14:paraId="22FF3467" w14:textId="77777777" w:rsidTr="00D511C2">
        <w:trPr>
          <w:trHeight w:val="340"/>
        </w:trPr>
        <w:tc>
          <w:tcPr>
            <w:tcW w:w="42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B7EC06" w14:textId="77777777" w:rsidR="009C79BC" w:rsidRDefault="009C79BC" w:rsidP="00AC7481">
            <w:pPr>
              <w:spacing w:after="0" w:line="240" w:lineRule="auto"/>
              <w:rPr>
                <w:b/>
                <w:color w:val="000000"/>
              </w:rPr>
            </w:pPr>
            <w:r>
              <w:rPr>
                <w:rFonts w:ascii="Calibri" w:eastAsia="Calibri" w:hAnsi="Calibri" w:cs="Calibri"/>
                <w:b/>
                <w:color w:val="000000"/>
              </w:rPr>
              <w:t>Celkem podprogram Lídři</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14E69B44" w14:textId="40861150" w:rsidR="009C79BC" w:rsidRPr="00DD0127" w:rsidRDefault="009C79BC" w:rsidP="009C79BC">
            <w:pPr>
              <w:spacing w:after="0" w:line="240" w:lineRule="auto"/>
              <w:jc w:val="right"/>
              <w:rPr>
                <w:b/>
                <w:color w:val="000000"/>
              </w:rPr>
            </w:pPr>
            <w:r w:rsidRPr="00DD0127">
              <w:rPr>
                <w:b/>
              </w:rPr>
              <w:t>1 822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6DDF478F" w14:textId="73A75F29" w:rsidR="009C79BC" w:rsidRPr="00DD0127" w:rsidRDefault="009C79BC" w:rsidP="009C79BC">
            <w:pPr>
              <w:spacing w:after="0" w:line="240" w:lineRule="auto"/>
              <w:jc w:val="right"/>
              <w:rPr>
                <w:b/>
                <w:color w:val="000000"/>
              </w:rPr>
            </w:pPr>
            <w:r w:rsidRPr="00DD0127">
              <w:rPr>
                <w:b/>
              </w:rPr>
              <w:t>28 391</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1A35" w14:textId="7C49368C" w:rsidR="009C79BC" w:rsidRPr="00DD0127" w:rsidRDefault="009C79BC" w:rsidP="009C79BC">
            <w:pPr>
              <w:spacing w:after="0" w:line="240" w:lineRule="auto"/>
              <w:jc w:val="right"/>
              <w:rPr>
                <w:b/>
                <w:color w:val="000000"/>
              </w:rPr>
            </w:pPr>
            <w:r w:rsidRPr="00DD0127">
              <w:rPr>
                <w:b/>
              </w:rPr>
              <w:t>43 608</w:t>
            </w:r>
          </w:p>
        </w:tc>
      </w:tr>
      <w:tr w:rsidR="009C79BC" w14:paraId="047ED315" w14:textId="77777777" w:rsidTr="00D511C2">
        <w:trPr>
          <w:trHeight w:val="340"/>
        </w:trPr>
        <w:tc>
          <w:tcPr>
            <w:tcW w:w="42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8A2265" w14:textId="77777777" w:rsidR="009C79BC" w:rsidRDefault="009C79BC" w:rsidP="00AC7481">
            <w:pPr>
              <w:spacing w:after="0" w:line="240" w:lineRule="auto"/>
              <w:rPr>
                <w:b/>
                <w:color w:val="000000"/>
              </w:rPr>
            </w:pPr>
            <w:r>
              <w:rPr>
                <w:rFonts w:ascii="Calibri" w:eastAsia="Calibri" w:hAnsi="Calibri" w:cs="Calibri"/>
                <w:b/>
                <w:color w:val="000000"/>
              </w:rPr>
              <w:t>Celkem podprogram Nováčci</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55564166" w14:textId="3CFC3141" w:rsidR="009C79BC" w:rsidRPr="00DD0127" w:rsidRDefault="00BA0CA4" w:rsidP="009C79BC">
            <w:pPr>
              <w:spacing w:after="0" w:line="240" w:lineRule="auto"/>
              <w:jc w:val="right"/>
              <w:rPr>
                <w:b/>
                <w:color w:val="000000"/>
              </w:rPr>
            </w:pPr>
            <w:r w:rsidRPr="00DD0127">
              <w:rPr>
                <w:b/>
              </w:rPr>
              <w:t>490</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6917D58C" w14:textId="39536402" w:rsidR="009C79BC" w:rsidRPr="00DD0127" w:rsidRDefault="00DD0127" w:rsidP="009C79BC">
            <w:pPr>
              <w:spacing w:after="0" w:line="240" w:lineRule="auto"/>
              <w:jc w:val="right"/>
              <w:rPr>
                <w:b/>
                <w:color w:val="000000"/>
              </w:rPr>
            </w:pPr>
            <w:r w:rsidRPr="00DD0127">
              <w:rPr>
                <w:b/>
              </w:rPr>
              <w:t>4 786</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8407D" w14:textId="1D23F6A7" w:rsidR="009C79BC" w:rsidRPr="00DD0127" w:rsidRDefault="00DD0127" w:rsidP="009C79BC">
            <w:pPr>
              <w:spacing w:after="0" w:line="240" w:lineRule="auto"/>
              <w:jc w:val="right"/>
              <w:rPr>
                <w:b/>
                <w:color w:val="000000"/>
              </w:rPr>
            </w:pPr>
            <w:r w:rsidRPr="00DD0127">
              <w:rPr>
                <w:b/>
              </w:rPr>
              <w:t>6 472</w:t>
            </w:r>
          </w:p>
        </w:tc>
      </w:tr>
      <w:tr w:rsidR="009C79BC" w14:paraId="294CCCF8" w14:textId="77777777" w:rsidTr="00D511C2">
        <w:trPr>
          <w:trHeight w:val="340"/>
        </w:trPr>
        <w:tc>
          <w:tcPr>
            <w:tcW w:w="42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746DAD" w14:textId="77777777" w:rsidR="009C79BC" w:rsidRDefault="009C79BC" w:rsidP="00AC7481">
            <w:pPr>
              <w:spacing w:after="0" w:line="240" w:lineRule="auto"/>
              <w:rPr>
                <w:b/>
                <w:color w:val="000000"/>
              </w:rPr>
            </w:pPr>
            <w:r>
              <w:rPr>
                <w:rFonts w:ascii="Calibri" w:eastAsia="Calibri" w:hAnsi="Calibri" w:cs="Calibri"/>
                <w:b/>
                <w:color w:val="000000"/>
              </w:rPr>
              <w:t>CELKEM</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5DA03D4B" w14:textId="110396C8" w:rsidR="009C79BC" w:rsidRPr="00DD0127" w:rsidRDefault="009C79BC" w:rsidP="009C79BC">
            <w:pPr>
              <w:spacing w:after="0" w:line="240" w:lineRule="auto"/>
              <w:jc w:val="right"/>
              <w:rPr>
                <w:b/>
                <w:color w:val="000000"/>
              </w:rPr>
            </w:pPr>
            <w:r w:rsidRPr="00DD0127">
              <w:rPr>
                <w:b/>
              </w:rPr>
              <w:t xml:space="preserve">2 </w:t>
            </w:r>
            <w:r w:rsidR="00BA0CA4" w:rsidRPr="00DD0127">
              <w:rPr>
                <w:b/>
              </w:rPr>
              <w:t>312</w:t>
            </w:r>
          </w:p>
        </w:tc>
        <w:tc>
          <w:tcPr>
            <w:tcW w:w="1691" w:type="dxa"/>
            <w:tcBorders>
              <w:top w:val="single" w:sz="4" w:space="0" w:color="000000"/>
              <w:left w:val="nil"/>
              <w:bottom w:val="single" w:sz="4" w:space="0" w:color="000000"/>
              <w:right w:val="single" w:sz="4" w:space="0" w:color="000000"/>
            </w:tcBorders>
            <w:shd w:val="clear" w:color="auto" w:fill="auto"/>
            <w:vAlign w:val="center"/>
          </w:tcPr>
          <w:p w14:paraId="675C4FF8" w14:textId="452899A8" w:rsidR="009C79BC" w:rsidRPr="00DD0127" w:rsidRDefault="00DD0127" w:rsidP="009C79BC">
            <w:pPr>
              <w:spacing w:after="0" w:line="240" w:lineRule="auto"/>
              <w:jc w:val="right"/>
              <w:rPr>
                <w:b/>
                <w:color w:val="000000"/>
              </w:rPr>
            </w:pPr>
            <w:r w:rsidRPr="00DD0127">
              <w:rPr>
                <w:b/>
              </w:rPr>
              <w:t>33 177</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4C23F" w14:textId="130A4DCF" w:rsidR="009C79BC" w:rsidRPr="00DD0127" w:rsidRDefault="00DD0127" w:rsidP="009C79BC">
            <w:pPr>
              <w:spacing w:after="0" w:line="240" w:lineRule="auto"/>
              <w:jc w:val="right"/>
              <w:rPr>
                <w:b/>
                <w:color w:val="000000"/>
              </w:rPr>
            </w:pPr>
            <w:r w:rsidRPr="00DD0127">
              <w:rPr>
                <w:b/>
              </w:rPr>
              <w:t>50 081</w:t>
            </w:r>
          </w:p>
        </w:tc>
      </w:tr>
    </w:tbl>
    <w:p w14:paraId="387D6249" w14:textId="14699979" w:rsidR="00C87FB4" w:rsidRPr="0068727A" w:rsidRDefault="00BE7049" w:rsidP="00544EB6">
      <w:pPr>
        <w:spacing w:before="240" w:after="120"/>
        <w:jc w:val="both"/>
        <w:rPr>
          <w:rFonts w:asciiTheme="majorHAnsi" w:hAnsiTheme="majorHAnsi" w:cs="Arial"/>
          <w:iCs/>
        </w:rPr>
      </w:pPr>
      <w:r w:rsidRPr="0068727A">
        <w:rPr>
          <w:rFonts w:asciiTheme="majorHAnsi" w:hAnsiTheme="majorHAnsi" w:cs="Arial"/>
        </w:rPr>
        <w:t>V</w:t>
      </w:r>
      <w:r w:rsidR="00AA3C29">
        <w:rPr>
          <w:rFonts w:asciiTheme="majorHAnsi" w:hAnsiTheme="majorHAnsi" w:cs="Arial"/>
        </w:rPr>
        <w:t> deseti vyhodnocených VS</w:t>
      </w:r>
      <w:r w:rsidRPr="0068727A">
        <w:rPr>
          <w:rFonts w:asciiTheme="majorHAnsi" w:hAnsiTheme="majorHAnsi" w:cs="Arial"/>
        </w:rPr>
        <w:t xml:space="preserve"> bylo p</w:t>
      </w:r>
      <w:r w:rsidR="000B69CD" w:rsidRPr="0068727A">
        <w:rPr>
          <w:rFonts w:asciiTheme="majorHAnsi" w:hAnsiTheme="majorHAnsi" w:cs="Arial"/>
        </w:rPr>
        <w:t>odpořeno</w:t>
      </w:r>
      <w:r w:rsidRPr="0068727A">
        <w:rPr>
          <w:rFonts w:asciiTheme="majorHAnsi" w:hAnsiTheme="majorHAnsi" w:cs="Arial"/>
        </w:rPr>
        <w:t xml:space="preserve"> </w:t>
      </w:r>
      <w:r w:rsidR="000B69CD" w:rsidRPr="0068727A">
        <w:rPr>
          <w:rFonts w:asciiTheme="majorHAnsi" w:hAnsiTheme="majorHAnsi" w:cs="Arial"/>
        </w:rPr>
        <w:t>celkem</w:t>
      </w:r>
      <w:r w:rsidR="0068727A" w:rsidRPr="0068727A">
        <w:rPr>
          <w:rFonts w:asciiTheme="majorHAnsi" w:hAnsiTheme="majorHAnsi" w:cs="Arial"/>
        </w:rPr>
        <w:t xml:space="preserve"> </w:t>
      </w:r>
      <w:r w:rsidR="00FD5B65">
        <w:rPr>
          <w:rFonts w:asciiTheme="majorHAnsi" w:hAnsiTheme="majorHAnsi" w:cs="Arial"/>
        </w:rPr>
        <w:t>6</w:t>
      </w:r>
      <w:r w:rsidR="00AA3C29">
        <w:rPr>
          <w:rFonts w:asciiTheme="majorHAnsi" w:hAnsiTheme="majorHAnsi" w:cs="Arial"/>
        </w:rPr>
        <w:t>7</w:t>
      </w:r>
      <w:r w:rsidR="00CF438E">
        <w:rPr>
          <w:rFonts w:asciiTheme="majorHAnsi" w:hAnsiTheme="majorHAnsi" w:cs="Arial"/>
        </w:rPr>
        <w:t>0</w:t>
      </w:r>
      <w:r w:rsidR="004D3AFF" w:rsidRPr="0068727A">
        <w:rPr>
          <w:rFonts w:asciiTheme="majorHAnsi" w:hAnsiTheme="majorHAnsi" w:cs="Arial"/>
        </w:rPr>
        <w:t xml:space="preserve"> </w:t>
      </w:r>
      <w:r w:rsidR="000B69CD" w:rsidRPr="0068727A">
        <w:rPr>
          <w:rFonts w:asciiTheme="majorHAnsi" w:hAnsiTheme="majorHAnsi" w:cs="Arial"/>
        </w:rPr>
        <w:t>projektů. Úspěšnost uchazečů v</w:t>
      </w:r>
      <w:r w:rsidR="00CE7C79">
        <w:rPr>
          <w:rFonts w:asciiTheme="majorHAnsi" w:hAnsiTheme="majorHAnsi" w:cs="Arial"/>
        </w:rPr>
        <w:t> </w:t>
      </w:r>
      <w:r w:rsidR="0068727A" w:rsidRPr="0068727A">
        <w:rPr>
          <w:rFonts w:asciiTheme="majorHAnsi" w:hAnsiTheme="majorHAnsi" w:cs="Arial"/>
        </w:rPr>
        <w:t>dosavadním průběhu</w:t>
      </w:r>
      <w:r w:rsidR="00C0040D" w:rsidRPr="0068727A">
        <w:rPr>
          <w:rFonts w:asciiTheme="majorHAnsi" w:hAnsiTheme="majorHAnsi" w:cs="Arial"/>
        </w:rPr>
        <w:t> </w:t>
      </w:r>
      <w:r w:rsidR="000B69CD" w:rsidRPr="0068727A">
        <w:rPr>
          <w:rFonts w:asciiTheme="majorHAnsi" w:hAnsiTheme="majorHAnsi" w:cs="Arial"/>
        </w:rPr>
        <w:t xml:space="preserve">Programu je </w:t>
      </w:r>
      <w:r w:rsidR="00F37638">
        <w:rPr>
          <w:rFonts w:asciiTheme="majorHAnsi" w:hAnsiTheme="majorHAnsi" w:cs="Arial"/>
        </w:rPr>
        <w:t>v</w:t>
      </w:r>
      <w:r w:rsidR="00641273">
        <w:rPr>
          <w:rFonts w:asciiTheme="majorHAnsi" w:hAnsiTheme="majorHAnsi" w:cs="Arial"/>
        </w:rPr>
        <w:t> </w:t>
      </w:r>
      <w:r w:rsidR="00F37638">
        <w:rPr>
          <w:rFonts w:asciiTheme="majorHAnsi" w:hAnsiTheme="majorHAnsi" w:cs="Arial"/>
        </w:rPr>
        <w:t>průměru</w:t>
      </w:r>
      <w:r w:rsidR="00641273">
        <w:rPr>
          <w:rFonts w:asciiTheme="majorHAnsi" w:hAnsiTheme="majorHAnsi" w:cs="Arial"/>
        </w:rPr>
        <w:t xml:space="preserve"> </w:t>
      </w:r>
      <w:r w:rsidR="00AA3C29">
        <w:rPr>
          <w:rFonts w:asciiTheme="majorHAnsi" w:hAnsiTheme="majorHAnsi" w:cs="Arial"/>
        </w:rPr>
        <w:t>necelých 30</w:t>
      </w:r>
      <w:r w:rsidR="00641273">
        <w:rPr>
          <w:rFonts w:asciiTheme="majorHAnsi" w:hAnsiTheme="majorHAnsi" w:cs="Arial"/>
        </w:rPr>
        <w:t> </w:t>
      </w:r>
      <w:r w:rsidR="0068727A" w:rsidRPr="0068727A">
        <w:rPr>
          <w:rFonts w:asciiTheme="majorHAnsi" w:hAnsiTheme="majorHAnsi" w:cs="Arial"/>
        </w:rPr>
        <w:t>%</w:t>
      </w:r>
      <w:r w:rsidR="000B69CD" w:rsidRPr="0068727A">
        <w:rPr>
          <w:rFonts w:asciiTheme="majorHAnsi" w:hAnsiTheme="majorHAnsi" w:cs="Arial"/>
        </w:rPr>
        <w:t xml:space="preserve">. </w:t>
      </w:r>
      <w:r w:rsidR="00EB68ED" w:rsidRPr="0068727A">
        <w:rPr>
          <w:rFonts w:asciiTheme="majorHAnsi" w:hAnsiTheme="majorHAnsi" w:cs="Arial"/>
          <w:iCs/>
        </w:rPr>
        <w:t>Mezi jednotlivými soutěžemi se podíl podpořených projektů z</w:t>
      </w:r>
      <w:r w:rsidR="00CE7C79">
        <w:rPr>
          <w:rFonts w:asciiTheme="majorHAnsi" w:hAnsiTheme="majorHAnsi" w:cs="Arial"/>
          <w:iCs/>
        </w:rPr>
        <w:t> </w:t>
      </w:r>
      <w:r w:rsidR="00EB68ED" w:rsidRPr="0068727A">
        <w:rPr>
          <w:rFonts w:asciiTheme="majorHAnsi" w:hAnsiTheme="majorHAnsi" w:cs="Arial"/>
          <w:iCs/>
        </w:rPr>
        <w:t>podaných žádostí velmi liší, což je dáno zejména rozdílnou finanční alokací určenou pro podprogramy a</w:t>
      </w:r>
      <w:r w:rsidR="00CE7C79">
        <w:rPr>
          <w:rFonts w:asciiTheme="majorHAnsi" w:hAnsiTheme="majorHAnsi" w:cs="Arial"/>
          <w:iCs/>
        </w:rPr>
        <w:t> </w:t>
      </w:r>
      <w:r w:rsidR="00EB68ED" w:rsidRPr="0068727A">
        <w:rPr>
          <w:rFonts w:asciiTheme="majorHAnsi" w:hAnsiTheme="majorHAnsi" w:cs="Arial"/>
          <w:iCs/>
        </w:rPr>
        <w:t xml:space="preserve">nastavenými podmínkami hodnocení. </w:t>
      </w:r>
      <w:r w:rsidR="00CF438E">
        <w:rPr>
          <w:rFonts w:asciiTheme="majorHAnsi" w:hAnsiTheme="majorHAnsi" w:cs="Arial"/>
          <w:iCs/>
        </w:rPr>
        <w:t>V</w:t>
      </w:r>
      <w:r w:rsidR="00CE7C79">
        <w:rPr>
          <w:rFonts w:asciiTheme="majorHAnsi" w:hAnsiTheme="majorHAnsi" w:cs="Arial"/>
          <w:iCs/>
        </w:rPr>
        <w:t> </w:t>
      </w:r>
      <w:r w:rsidR="00EB68ED" w:rsidRPr="0068727A">
        <w:rPr>
          <w:rFonts w:asciiTheme="majorHAnsi" w:hAnsiTheme="majorHAnsi" w:cs="Arial"/>
          <w:iCs/>
        </w:rPr>
        <w:t>podprogramu 2 určeném pro „nováčky“ ve VaV nebyl</w:t>
      </w:r>
      <w:r w:rsidR="002E1B59">
        <w:rPr>
          <w:rFonts w:asciiTheme="majorHAnsi" w:hAnsiTheme="majorHAnsi" w:cs="Arial"/>
          <w:iCs/>
        </w:rPr>
        <w:t>a identifikována taková absorpční kapacita a</w:t>
      </w:r>
      <w:r w:rsidR="00CE7C79">
        <w:rPr>
          <w:rFonts w:asciiTheme="majorHAnsi" w:hAnsiTheme="majorHAnsi" w:cs="Arial"/>
          <w:iCs/>
        </w:rPr>
        <w:t> </w:t>
      </w:r>
      <w:r w:rsidR="00EB68ED" w:rsidRPr="0068727A">
        <w:rPr>
          <w:rFonts w:asciiTheme="majorHAnsi" w:hAnsiTheme="majorHAnsi" w:cs="Arial"/>
          <w:iCs/>
        </w:rPr>
        <w:t xml:space="preserve">ani </w:t>
      </w:r>
      <w:r w:rsidR="002E1B59">
        <w:rPr>
          <w:rFonts w:asciiTheme="majorHAnsi" w:hAnsiTheme="majorHAnsi" w:cs="Arial"/>
          <w:iCs/>
        </w:rPr>
        <w:t xml:space="preserve">nebyla očekávána </w:t>
      </w:r>
      <w:r w:rsidR="00EB68ED" w:rsidRPr="0068727A">
        <w:rPr>
          <w:rFonts w:asciiTheme="majorHAnsi" w:hAnsiTheme="majorHAnsi" w:cs="Arial"/>
          <w:iCs/>
        </w:rPr>
        <w:t>taková kvalita projektů jako v</w:t>
      </w:r>
      <w:r w:rsidR="00CE7C79">
        <w:rPr>
          <w:rFonts w:asciiTheme="majorHAnsi" w:hAnsiTheme="majorHAnsi" w:cs="Arial"/>
          <w:iCs/>
        </w:rPr>
        <w:t> </w:t>
      </w:r>
      <w:r w:rsidR="00EB68ED" w:rsidRPr="0068727A">
        <w:rPr>
          <w:rFonts w:asciiTheme="majorHAnsi" w:hAnsiTheme="majorHAnsi" w:cs="Arial"/>
          <w:iCs/>
        </w:rPr>
        <w:t>podprogramu hlavním. V</w:t>
      </w:r>
      <w:r w:rsidR="00CE7C79">
        <w:rPr>
          <w:rFonts w:asciiTheme="majorHAnsi" w:hAnsiTheme="majorHAnsi" w:cs="Arial"/>
          <w:iCs/>
        </w:rPr>
        <w:t> </w:t>
      </w:r>
      <w:r w:rsidR="00EB68ED" w:rsidRPr="0068727A">
        <w:rPr>
          <w:rFonts w:asciiTheme="majorHAnsi" w:hAnsiTheme="majorHAnsi" w:cs="Arial"/>
          <w:iCs/>
        </w:rPr>
        <w:t>PP2 se proto úspěšnost pohybovala níže než v</w:t>
      </w:r>
      <w:r w:rsidR="00CE7C79">
        <w:rPr>
          <w:rFonts w:asciiTheme="majorHAnsi" w:hAnsiTheme="majorHAnsi" w:cs="Arial"/>
          <w:iCs/>
        </w:rPr>
        <w:t> </w:t>
      </w:r>
      <w:r w:rsidR="00EB68ED" w:rsidRPr="0068727A">
        <w:rPr>
          <w:rFonts w:asciiTheme="majorHAnsi" w:hAnsiTheme="majorHAnsi" w:cs="Arial"/>
          <w:iCs/>
        </w:rPr>
        <w:t>PP1, vždy do dvaceti procent.</w:t>
      </w:r>
      <w:r w:rsidR="00EA1F11" w:rsidRPr="0068727A">
        <w:rPr>
          <w:rFonts w:asciiTheme="majorHAnsi" w:hAnsiTheme="majorHAnsi" w:cs="Arial"/>
          <w:iCs/>
        </w:rPr>
        <w:t xml:space="preserve"> Zároveň v</w:t>
      </w:r>
      <w:r w:rsidR="00CE7C79">
        <w:rPr>
          <w:rFonts w:asciiTheme="majorHAnsi" w:hAnsiTheme="majorHAnsi" w:cs="Arial"/>
          <w:iCs/>
        </w:rPr>
        <w:t> </w:t>
      </w:r>
      <w:r w:rsidR="00EA1F11" w:rsidRPr="0068727A">
        <w:rPr>
          <w:rFonts w:asciiTheme="majorHAnsi" w:hAnsiTheme="majorHAnsi" w:cs="Arial"/>
          <w:iCs/>
        </w:rPr>
        <w:t>PP2 bylo o</w:t>
      </w:r>
      <w:r w:rsidR="00CE7C79">
        <w:rPr>
          <w:rFonts w:asciiTheme="majorHAnsi" w:hAnsiTheme="majorHAnsi" w:cs="Arial"/>
          <w:iCs/>
        </w:rPr>
        <w:t> </w:t>
      </w:r>
      <w:r w:rsidR="00EA1F11" w:rsidRPr="0068727A">
        <w:rPr>
          <w:rFonts w:asciiTheme="majorHAnsi" w:hAnsiTheme="majorHAnsi" w:cs="Arial"/>
          <w:iCs/>
        </w:rPr>
        <w:t>něco vyšší procento žádostí, které se pro formální nedostatky nedostaly do odborného hodnocení.</w:t>
      </w:r>
      <w:r w:rsidR="00EB68ED" w:rsidRPr="0068727A">
        <w:rPr>
          <w:rFonts w:asciiTheme="majorHAnsi" w:hAnsiTheme="majorHAnsi" w:cs="Arial"/>
          <w:iCs/>
        </w:rPr>
        <w:t xml:space="preserve"> V</w:t>
      </w:r>
      <w:r w:rsidR="00CE7C79">
        <w:rPr>
          <w:rFonts w:asciiTheme="majorHAnsi" w:hAnsiTheme="majorHAnsi" w:cs="Arial"/>
          <w:iCs/>
        </w:rPr>
        <w:t> </w:t>
      </w:r>
      <w:r w:rsidR="00EB68ED" w:rsidRPr="0068727A">
        <w:rPr>
          <w:rFonts w:asciiTheme="majorHAnsi" w:hAnsiTheme="majorHAnsi" w:cs="Arial"/>
          <w:iCs/>
        </w:rPr>
        <w:t>PP1</w:t>
      </w:r>
      <w:r w:rsidR="00544EB6">
        <w:rPr>
          <w:rFonts w:asciiTheme="majorHAnsi" w:hAnsiTheme="majorHAnsi" w:cs="Arial"/>
          <w:iCs/>
        </w:rPr>
        <w:t> </w:t>
      </w:r>
      <w:r w:rsidR="00EB68ED" w:rsidRPr="0068727A">
        <w:rPr>
          <w:rFonts w:asciiTheme="majorHAnsi" w:hAnsiTheme="majorHAnsi" w:cs="Arial"/>
          <w:iCs/>
        </w:rPr>
        <w:t>naopak úspěšnost vždy přesáhla dvacet procent, v</w:t>
      </w:r>
      <w:r w:rsidR="00CE7C79">
        <w:rPr>
          <w:rFonts w:asciiTheme="majorHAnsi" w:hAnsiTheme="majorHAnsi" w:cs="Arial"/>
          <w:iCs/>
        </w:rPr>
        <w:t> </w:t>
      </w:r>
      <w:r w:rsidR="00EB68ED" w:rsidRPr="0068727A">
        <w:rPr>
          <w:rFonts w:asciiTheme="majorHAnsi" w:hAnsiTheme="majorHAnsi" w:cs="Arial"/>
          <w:iCs/>
        </w:rPr>
        <w:t xml:space="preserve">první soutěži byla dokonce nad čtyřiceti procenty, důvodem </w:t>
      </w:r>
      <w:r w:rsidR="000B69CD" w:rsidRPr="0068727A">
        <w:rPr>
          <w:rFonts w:asciiTheme="majorHAnsi" w:hAnsiTheme="majorHAnsi" w:cs="Arial"/>
          <w:iCs/>
        </w:rPr>
        <w:t xml:space="preserve">však bylo dodatečné navýšení </w:t>
      </w:r>
      <w:r w:rsidR="00EA1F11" w:rsidRPr="0068727A">
        <w:rPr>
          <w:rFonts w:asciiTheme="majorHAnsi" w:hAnsiTheme="majorHAnsi" w:cs="Arial"/>
          <w:iCs/>
        </w:rPr>
        <w:t>finanční alokace této soutěže</w:t>
      </w:r>
      <w:r w:rsidR="000B69CD" w:rsidRPr="0068727A">
        <w:rPr>
          <w:rFonts w:asciiTheme="majorHAnsi" w:hAnsiTheme="majorHAnsi" w:cs="Arial"/>
          <w:iCs/>
        </w:rPr>
        <w:t>.</w:t>
      </w:r>
      <w:r w:rsidR="00EB68ED" w:rsidRPr="0068727A">
        <w:rPr>
          <w:rFonts w:asciiTheme="majorHAnsi" w:hAnsiTheme="majorHAnsi" w:cs="Arial"/>
          <w:iCs/>
        </w:rPr>
        <w:t xml:space="preserve"> </w:t>
      </w:r>
    </w:p>
    <w:p w14:paraId="6CB70528" w14:textId="32316EDB" w:rsidR="0084422D" w:rsidRPr="0068727A" w:rsidRDefault="00EB68ED" w:rsidP="00B15CA2">
      <w:pPr>
        <w:spacing w:after="120"/>
        <w:jc w:val="both"/>
        <w:rPr>
          <w:rFonts w:asciiTheme="majorHAnsi" w:hAnsiTheme="majorHAnsi" w:cs="Arial"/>
          <w:iCs/>
        </w:rPr>
      </w:pPr>
      <w:r w:rsidRPr="0068727A">
        <w:rPr>
          <w:rFonts w:asciiTheme="majorHAnsi" w:hAnsiTheme="majorHAnsi" w:cs="Arial"/>
          <w:iCs/>
        </w:rPr>
        <w:lastRenderedPageBreak/>
        <w:t>Výrazně vyšší úspěšnost vychází u</w:t>
      </w:r>
      <w:r w:rsidR="00CE7C79">
        <w:rPr>
          <w:rFonts w:asciiTheme="majorHAnsi" w:hAnsiTheme="majorHAnsi" w:cs="Arial"/>
          <w:iCs/>
        </w:rPr>
        <w:t> </w:t>
      </w:r>
      <w:r w:rsidRPr="0068727A">
        <w:rPr>
          <w:rFonts w:asciiTheme="majorHAnsi" w:hAnsiTheme="majorHAnsi" w:cs="Arial"/>
          <w:iCs/>
        </w:rPr>
        <w:t>soutěží č.</w:t>
      </w:r>
      <w:r w:rsidR="00544EB6">
        <w:rPr>
          <w:rFonts w:asciiTheme="majorHAnsi" w:hAnsiTheme="majorHAnsi" w:cs="Arial"/>
          <w:iCs/>
        </w:rPr>
        <w:t xml:space="preserve"> </w:t>
      </w:r>
      <w:r w:rsidRPr="0068727A">
        <w:rPr>
          <w:rFonts w:asciiTheme="majorHAnsi" w:hAnsiTheme="majorHAnsi" w:cs="Arial"/>
          <w:iCs/>
        </w:rPr>
        <w:t>7 a</w:t>
      </w:r>
      <w:r w:rsidR="00CE7C79">
        <w:rPr>
          <w:rFonts w:asciiTheme="majorHAnsi" w:hAnsiTheme="majorHAnsi" w:cs="Arial"/>
          <w:iCs/>
        </w:rPr>
        <w:t> </w:t>
      </w:r>
      <w:r w:rsidRPr="0068727A">
        <w:rPr>
          <w:rFonts w:asciiTheme="majorHAnsi" w:hAnsiTheme="majorHAnsi" w:cs="Arial"/>
          <w:iCs/>
        </w:rPr>
        <w:t xml:space="preserve">8, které se však vymykají specifickým </w:t>
      </w:r>
      <w:r w:rsidR="00CF438E">
        <w:rPr>
          <w:rFonts w:asciiTheme="majorHAnsi" w:hAnsiTheme="majorHAnsi" w:cs="Arial"/>
          <w:iCs/>
        </w:rPr>
        <w:t xml:space="preserve">úzkým </w:t>
      </w:r>
      <w:r w:rsidRPr="0068727A">
        <w:rPr>
          <w:rFonts w:asciiTheme="majorHAnsi" w:hAnsiTheme="majorHAnsi" w:cs="Arial"/>
          <w:iCs/>
        </w:rPr>
        <w:t>zaměřením na</w:t>
      </w:r>
      <w:r w:rsidR="00CF438E">
        <w:rPr>
          <w:rFonts w:asciiTheme="majorHAnsi" w:hAnsiTheme="majorHAnsi" w:cs="Arial"/>
          <w:iCs/>
        </w:rPr>
        <w:t> </w:t>
      </w:r>
      <w:r w:rsidRPr="0068727A">
        <w:rPr>
          <w:rFonts w:asciiTheme="majorHAnsi" w:hAnsiTheme="majorHAnsi" w:cs="Arial"/>
          <w:iCs/>
        </w:rPr>
        <w:t>oblast technologií 5G a</w:t>
      </w:r>
      <w:r w:rsidR="00CE7C79">
        <w:rPr>
          <w:rFonts w:asciiTheme="majorHAnsi" w:hAnsiTheme="majorHAnsi" w:cs="Arial"/>
          <w:iCs/>
        </w:rPr>
        <w:t> </w:t>
      </w:r>
      <w:r w:rsidRPr="0068727A">
        <w:rPr>
          <w:rFonts w:asciiTheme="majorHAnsi" w:hAnsiTheme="majorHAnsi" w:cs="Arial"/>
          <w:iCs/>
        </w:rPr>
        <w:t>vybočují i</w:t>
      </w:r>
      <w:r w:rsidR="00CE7C79">
        <w:rPr>
          <w:rFonts w:asciiTheme="majorHAnsi" w:hAnsiTheme="majorHAnsi" w:cs="Arial"/>
          <w:iCs/>
        </w:rPr>
        <w:t> </w:t>
      </w:r>
      <w:r w:rsidRPr="0068727A">
        <w:rPr>
          <w:rFonts w:asciiTheme="majorHAnsi" w:hAnsiTheme="majorHAnsi" w:cs="Arial"/>
          <w:iCs/>
        </w:rPr>
        <w:t xml:space="preserve">celkově nízkým počtem žádostí, proto veškerá data za tyto dvě soutěže nejsou </w:t>
      </w:r>
      <w:r w:rsidR="00571247" w:rsidRPr="0068727A">
        <w:rPr>
          <w:rFonts w:asciiTheme="majorHAnsi" w:hAnsiTheme="majorHAnsi" w:cs="Arial"/>
          <w:iCs/>
        </w:rPr>
        <w:t>příliš srovnatelná s</w:t>
      </w:r>
      <w:r w:rsidR="00CE7C79">
        <w:rPr>
          <w:rFonts w:asciiTheme="majorHAnsi" w:hAnsiTheme="majorHAnsi" w:cs="Arial"/>
          <w:iCs/>
        </w:rPr>
        <w:t> </w:t>
      </w:r>
      <w:r w:rsidR="00571247" w:rsidRPr="0068727A">
        <w:rPr>
          <w:rFonts w:asciiTheme="majorHAnsi" w:hAnsiTheme="majorHAnsi" w:cs="Arial"/>
          <w:iCs/>
        </w:rPr>
        <w:t>daty</w:t>
      </w:r>
      <w:r w:rsidRPr="0068727A">
        <w:rPr>
          <w:rFonts w:asciiTheme="majorHAnsi" w:hAnsiTheme="majorHAnsi" w:cs="Arial"/>
          <w:iCs/>
        </w:rPr>
        <w:t xml:space="preserve"> za soutěže ostatní.</w:t>
      </w:r>
      <w:r w:rsidR="000B69CD" w:rsidRPr="0068727A">
        <w:rPr>
          <w:rFonts w:asciiTheme="majorHAnsi" w:hAnsiTheme="majorHAnsi" w:cs="Arial"/>
          <w:iCs/>
        </w:rPr>
        <w:t xml:space="preserve"> </w:t>
      </w:r>
    </w:p>
    <w:p w14:paraId="7D91AB54" w14:textId="24D694F8" w:rsidR="00020253" w:rsidRDefault="000B69CD" w:rsidP="00B15CA2">
      <w:pPr>
        <w:spacing w:after="120"/>
        <w:jc w:val="both"/>
        <w:rPr>
          <w:rFonts w:asciiTheme="majorHAnsi" w:hAnsiTheme="majorHAnsi" w:cs="Arial"/>
        </w:rPr>
      </w:pPr>
      <w:r w:rsidRPr="0068727A">
        <w:rPr>
          <w:rFonts w:asciiTheme="majorHAnsi" w:hAnsiTheme="majorHAnsi" w:cs="Arial"/>
        </w:rPr>
        <w:t>Formální kontrolou neprošlo</w:t>
      </w:r>
      <w:r w:rsidR="0068727A">
        <w:rPr>
          <w:rFonts w:asciiTheme="majorHAnsi" w:hAnsiTheme="majorHAnsi" w:cs="Arial"/>
        </w:rPr>
        <w:t>, tedy do</w:t>
      </w:r>
      <w:r w:rsidR="00FD5B65">
        <w:rPr>
          <w:rFonts w:asciiTheme="majorHAnsi" w:hAnsiTheme="majorHAnsi" w:cs="Arial"/>
        </w:rPr>
        <w:t xml:space="preserve"> uvedených</w:t>
      </w:r>
      <w:r w:rsidR="0068727A">
        <w:rPr>
          <w:rFonts w:asciiTheme="majorHAnsi" w:hAnsiTheme="majorHAnsi" w:cs="Arial"/>
        </w:rPr>
        <w:t xml:space="preserve"> soutěží nebylo přijato</w:t>
      </w:r>
      <w:r w:rsidRPr="0068727A">
        <w:rPr>
          <w:rFonts w:asciiTheme="majorHAnsi" w:hAnsiTheme="majorHAnsi" w:cs="Arial"/>
        </w:rPr>
        <w:t xml:space="preserve"> celkem </w:t>
      </w:r>
      <w:r w:rsidR="0068727A" w:rsidRPr="0068727A">
        <w:rPr>
          <w:rFonts w:asciiTheme="majorHAnsi" w:hAnsiTheme="majorHAnsi" w:cs="Arial"/>
        </w:rPr>
        <w:t>12</w:t>
      </w:r>
      <w:r w:rsidR="00AA3C29">
        <w:rPr>
          <w:rFonts w:asciiTheme="majorHAnsi" w:hAnsiTheme="majorHAnsi" w:cs="Arial"/>
        </w:rPr>
        <w:t>8</w:t>
      </w:r>
      <w:r w:rsidR="0084422D" w:rsidRPr="0068727A">
        <w:rPr>
          <w:rFonts w:asciiTheme="majorHAnsi" w:hAnsiTheme="majorHAnsi" w:cs="Arial"/>
        </w:rPr>
        <w:t xml:space="preserve"> návrhů</w:t>
      </w:r>
      <w:r w:rsidRPr="0068727A">
        <w:rPr>
          <w:rFonts w:asciiTheme="majorHAnsi" w:hAnsiTheme="majorHAnsi" w:cs="Arial"/>
        </w:rPr>
        <w:t xml:space="preserve"> projektů (</w:t>
      </w:r>
      <w:r w:rsidR="0068727A" w:rsidRPr="0068727A">
        <w:rPr>
          <w:rFonts w:asciiTheme="majorHAnsi" w:hAnsiTheme="majorHAnsi" w:cs="Arial"/>
        </w:rPr>
        <w:t>necelých 6</w:t>
      </w:r>
      <w:r w:rsidRPr="0068727A">
        <w:rPr>
          <w:rFonts w:asciiTheme="majorHAnsi" w:hAnsiTheme="majorHAnsi" w:cs="Arial"/>
        </w:rPr>
        <w:t> %)</w:t>
      </w:r>
      <w:r w:rsidR="0084422D" w:rsidRPr="0068727A">
        <w:rPr>
          <w:rFonts w:asciiTheme="majorHAnsi" w:hAnsiTheme="majorHAnsi" w:cs="Arial"/>
        </w:rPr>
        <w:t xml:space="preserve">. Nejčastější důvody </w:t>
      </w:r>
      <w:r w:rsidR="009C79BC" w:rsidRPr="0068727A">
        <w:rPr>
          <w:rFonts w:asciiTheme="majorHAnsi" w:hAnsiTheme="majorHAnsi" w:cs="Arial"/>
        </w:rPr>
        <w:t>jsou uvedeny v</w:t>
      </w:r>
      <w:r w:rsidR="00CE7C79">
        <w:rPr>
          <w:rFonts w:asciiTheme="majorHAnsi" w:hAnsiTheme="majorHAnsi" w:cs="Arial"/>
        </w:rPr>
        <w:t> </w:t>
      </w:r>
      <w:r w:rsidR="000F72CD" w:rsidRPr="0068727A">
        <w:rPr>
          <w:rFonts w:asciiTheme="majorHAnsi" w:hAnsiTheme="majorHAnsi" w:cs="Arial"/>
        </w:rPr>
        <w:t xml:space="preserve">kapitole </w:t>
      </w:r>
      <w:r w:rsidR="009C79BC" w:rsidRPr="0068727A">
        <w:rPr>
          <w:rFonts w:asciiTheme="majorHAnsi" w:hAnsiTheme="majorHAnsi" w:cs="Arial"/>
        </w:rPr>
        <w:t>4.3.</w:t>
      </w:r>
    </w:p>
    <w:p w14:paraId="1C3AC1A6" w14:textId="14ACD2FD" w:rsidR="00B15CA2" w:rsidRPr="00B15CA2" w:rsidRDefault="00B15CA2" w:rsidP="00A7392F">
      <w:pPr>
        <w:pStyle w:val="Titulek"/>
      </w:pPr>
      <w:bookmarkStart w:id="8" w:name="_Toc150180759"/>
      <w:bookmarkStart w:id="9" w:name="_Toc185334570"/>
      <w:r w:rsidRPr="009C79BC">
        <w:t xml:space="preserve">Tabulka </w:t>
      </w:r>
      <w:r w:rsidR="00353407">
        <w:fldChar w:fldCharType="begin"/>
      </w:r>
      <w:r w:rsidR="00353407">
        <w:instrText xml:space="preserve"> SEQ Tabulka \* ARABIC </w:instrText>
      </w:r>
      <w:r w:rsidR="00353407">
        <w:fldChar w:fldCharType="separate"/>
      </w:r>
      <w:r w:rsidR="00353407">
        <w:rPr>
          <w:noProof/>
        </w:rPr>
        <w:t>3</w:t>
      </w:r>
      <w:r w:rsidR="00353407">
        <w:rPr>
          <w:noProof/>
        </w:rPr>
        <w:fldChar w:fldCharType="end"/>
      </w:r>
      <w:r w:rsidRPr="009C79BC">
        <w:t xml:space="preserve">: </w:t>
      </w:r>
      <w:r w:rsidR="001D12BC" w:rsidRPr="009C79BC">
        <w:t>Přehled podaných a</w:t>
      </w:r>
      <w:r w:rsidR="00CE7C79">
        <w:t> </w:t>
      </w:r>
      <w:r w:rsidR="001D12BC" w:rsidRPr="009C79BC">
        <w:t>úspěšných</w:t>
      </w:r>
      <w:r w:rsidRPr="009C79BC">
        <w:t xml:space="preserve"> </w:t>
      </w:r>
      <w:r w:rsidR="0084422D" w:rsidRPr="009C79BC">
        <w:t xml:space="preserve">návrhů </w:t>
      </w:r>
      <w:r w:rsidRPr="009C79BC">
        <w:t>projektů</w:t>
      </w:r>
      <w:bookmarkEnd w:id="8"/>
      <w:r w:rsidR="00BB196A" w:rsidRPr="009C79BC">
        <w:t xml:space="preserve"> podle veřejných soutěží</w:t>
      </w:r>
      <w:bookmarkEnd w:id="9"/>
    </w:p>
    <w:tbl>
      <w:tblPr>
        <w:tblW w:w="7530" w:type="dxa"/>
        <w:tblBorders>
          <w:top w:val="nil"/>
          <w:left w:val="nil"/>
          <w:bottom w:val="nil"/>
          <w:right w:val="nil"/>
          <w:insideH w:val="nil"/>
          <w:insideV w:val="nil"/>
        </w:tblBorders>
        <w:tblLayout w:type="fixed"/>
        <w:tblLook w:val="0600" w:firstRow="0" w:lastRow="0" w:firstColumn="0" w:lastColumn="0" w:noHBand="1" w:noVBand="1"/>
      </w:tblPr>
      <w:tblGrid>
        <w:gridCol w:w="1530"/>
        <w:gridCol w:w="1275"/>
        <w:gridCol w:w="1470"/>
        <w:gridCol w:w="855"/>
        <w:gridCol w:w="1515"/>
        <w:gridCol w:w="885"/>
      </w:tblGrid>
      <w:tr w:rsidR="009C79BC" w14:paraId="2480A86A" w14:textId="77777777" w:rsidTr="00AC7481">
        <w:trPr>
          <w:trHeight w:val="345"/>
        </w:trPr>
        <w:tc>
          <w:tcPr>
            <w:tcW w:w="1530" w:type="dxa"/>
            <w:vMerge w:val="restart"/>
            <w:tcBorders>
              <w:top w:val="single" w:sz="6" w:space="0" w:color="000000"/>
              <w:left w:val="single" w:sz="6" w:space="0" w:color="000000"/>
              <w:bottom w:val="single" w:sz="6" w:space="0" w:color="000000"/>
              <w:right w:val="single" w:sz="6" w:space="0" w:color="000000"/>
            </w:tcBorders>
            <w:shd w:val="clear" w:color="auto" w:fill="B9E0F7"/>
            <w:tcMar>
              <w:top w:w="40" w:type="dxa"/>
              <w:left w:w="40" w:type="dxa"/>
              <w:bottom w:w="40" w:type="dxa"/>
              <w:right w:w="40" w:type="dxa"/>
            </w:tcMar>
            <w:vAlign w:val="bottom"/>
          </w:tcPr>
          <w:p w14:paraId="52DC7EDC" w14:textId="77777777" w:rsidR="009C79BC" w:rsidRDefault="009C79BC" w:rsidP="00AC7481">
            <w:pPr>
              <w:widowControl w:val="0"/>
              <w:spacing w:after="0" w:line="276" w:lineRule="auto"/>
              <w:jc w:val="center"/>
            </w:pPr>
            <w:r>
              <w:t>VS</w:t>
            </w:r>
          </w:p>
        </w:tc>
        <w:tc>
          <w:tcPr>
            <w:tcW w:w="6000" w:type="dxa"/>
            <w:gridSpan w:val="5"/>
            <w:tcBorders>
              <w:top w:val="single" w:sz="6" w:space="0" w:color="000000"/>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6FFBA89E" w14:textId="77777777" w:rsidR="009C79BC" w:rsidRDefault="009C79BC" w:rsidP="00217CAE">
            <w:pPr>
              <w:keepNext/>
              <w:spacing w:after="0" w:line="276" w:lineRule="auto"/>
              <w:jc w:val="center"/>
              <w:rPr>
                <w:rFonts w:ascii="Arial" w:eastAsia="Arial" w:hAnsi="Arial" w:cs="Arial"/>
                <w:sz w:val="20"/>
                <w:szCs w:val="20"/>
              </w:rPr>
            </w:pPr>
            <w:r>
              <w:t>Počet projektů</w:t>
            </w:r>
          </w:p>
        </w:tc>
      </w:tr>
      <w:tr w:rsidR="009C79BC" w14:paraId="75192576" w14:textId="77777777" w:rsidTr="00D511C2">
        <w:trPr>
          <w:trHeight w:val="738"/>
        </w:trPr>
        <w:tc>
          <w:tcPr>
            <w:tcW w:w="1530"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C9BD73" w14:textId="77777777" w:rsidR="009C79BC" w:rsidRDefault="009C79BC" w:rsidP="00AC7481">
            <w:pPr>
              <w:widowControl w:val="0"/>
              <w:spacing w:after="0" w:line="276" w:lineRule="auto"/>
              <w:rPr>
                <w:rFonts w:ascii="Arial" w:eastAsia="Arial" w:hAnsi="Arial" w:cs="Arial"/>
                <w:sz w:val="20"/>
                <w:szCs w:val="20"/>
              </w:rPr>
            </w:pPr>
          </w:p>
        </w:tc>
        <w:tc>
          <w:tcPr>
            <w:tcW w:w="1275" w:type="dxa"/>
            <w:tcBorders>
              <w:top w:val="single" w:sz="6" w:space="0" w:color="CCCCCC"/>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3475E7E7" w14:textId="77777777" w:rsidR="009C79BC" w:rsidRDefault="009C79BC" w:rsidP="00D511C2">
            <w:pPr>
              <w:widowControl w:val="0"/>
              <w:spacing w:after="0" w:line="240" w:lineRule="auto"/>
              <w:jc w:val="center"/>
              <w:rPr>
                <w:rFonts w:ascii="Arial" w:eastAsia="Arial" w:hAnsi="Arial" w:cs="Arial"/>
                <w:sz w:val="20"/>
                <w:szCs w:val="20"/>
              </w:rPr>
            </w:pPr>
            <w:r>
              <w:t>Podaných</w:t>
            </w:r>
          </w:p>
        </w:tc>
        <w:tc>
          <w:tcPr>
            <w:tcW w:w="1470" w:type="dxa"/>
            <w:tcBorders>
              <w:top w:val="single" w:sz="6" w:space="0" w:color="CCCCCC"/>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2A4E5DF7" w14:textId="77777777" w:rsidR="009C79BC" w:rsidRDefault="009C79BC" w:rsidP="00D511C2">
            <w:pPr>
              <w:keepNext/>
              <w:spacing w:after="0" w:line="240" w:lineRule="auto"/>
              <w:jc w:val="center"/>
              <w:rPr>
                <w:rFonts w:ascii="Arial" w:eastAsia="Arial" w:hAnsi="Arial" w:cs="Arial"/>
                <w:sz w:val="20"/>
                <w:szCs w:val="20"/>
              </w:rPr>
            </w:pPr>
            <w:r>
              <w:t>z toho nepřijatých do soutěže</w:t>
            </w:r>
          </w:p>
        </w:tc>
        <w:tc>
          <w:tcPr>
            <w:tcW w:w="855" w:type="dxa"/>
            <w:tcBorders>
              <w:top w:val="single" w:sz="6" w:space="0" w:color="CCCCCC"/>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1B77866E" w14:textId="77777777" w:rsidR="009C79BC" w:rsidRDefault="009C79BC" w:rsidP="00D511C2">
            <w:pPr>
              <w:keepNext/>
              <w:spacing w:after="0" w:line="240" w:lineRule="auto"/>
              <w:jc w:val="center"/>
              <w:rPr>
                <w:rFonts w:ascii="Arial" w:eastAsia="Arial" w:hAnsi="Arial" w:cs="Arial"/>
                <w:sz w:val="20"/>
                <w:szCs w:val="20"/>
              </w:rPr>
            </w:pPr>
            <w:r>
              <w:t>v %</w:t>
            </w:r>
          </w:p>
        </w:tc>
        <w:tc>
          <w:tcPr>
            <w:tcW w:w="1515" w:type="dxa"/>
            <w:tcBorders>
              <w:top w:val="single" w:sz="6" w:space="0" w:color="CCCCCC"/>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536CD831" w14:textId="77777777" w:rsidR="009C79BC" w:rsidRDefault="009C79BC" w:rsidP="00D511C2">
            <w:pPr>
              <w:keepNext/>
              <w:spacing w:after="0" w:line="240" w:lineRule="auto"/>
              <w:jc w:val="center"/>
              <w:rPr>
                <w:rFonts w:ascii="Arial" w:eastAsia="Arial" w:hAnsi="Arial" w:cs="Arial"/>
                <w:sz w:val="20"/>
                <w:szCs w:val="20"/>
              </w:rPr>
            </w:pPr>
            <w:r>
              <w:t>Podpořených</w:t>
            </w:r>
          </w:p>
        </w:tc>
        <w:tc>
          <w:tcPr>
            <w:tcW w:w="885" w:type="dxa"/>
            <w:tcBorders>
              <w:top w:val="single" w:sz="6" w:space="0" w:color="CCCCCC"/>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bottom"/>
          </w:tcPr>
          <w:p w14:paraId="11AEAC6A" w14:textId="77777777" w:rsidR="009C79BC" w:rsidRDefault="009C79BC" w:rsidP="00D511C2">
            <w:pPr>
              <w:keepNext/>
              <w:spacing w:after="0" w:line="240" w:lineRule="auto"/>
              <w:jc w:val="center"/>
              <w:rPr>
                <w:rFonts w:ascii="Arial" w:eastAsia="Arial" w:hAnsi="Arial" w:cs="Arial"/>
                <w:sz w:val="20"/>
                <w:szCs w:val="20"/>
              </w:rPr>
            </w:pPr>
            <w:r>
              <w:t>v %</w:t>
            </w:r>
          </w:p>
        </w:tc>
      </w:tr>
      <w:tr w:rsidR="009C79BC" w14:paraId="584390F9"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0BF2098" w14:textId="4D567D80" w:rsidR="009C79BC" w:rsidRDefault="00E46E41" w:rsidP="00AC7481">
            <w:pPr>
              <w:widowControl w:val="0"/>
              <w:spacing w:after="0" w:line="276" w:lineRule="auto"/>
              <w:rPr>
                <w:rFonts w:ascii="Arial" w:eastAsia="Arial" w:hAnsi="Arial" w:cs="Arial"/>
                <w:sz w:val="20"/>
                <w:szCs w:val="20"/>
              </w:rPr>
            </w:pPr>
            <w:r>
              <w:t>1.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F524375"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396</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1F2A9FC"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12</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56FF127"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3,0</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2833F61"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166</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02360C1"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41,9</w:t>
            </w:r>
          </w:p>
        </w:tc>
      </w:tr>
      <w:tr w:rsidR="009C79BC" w14:paraId="6C8DF3F3"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31D7786" w14:textId="6051DD00" w:rsidR="009C79BC" w:rsidRDefault="009C79BC" w:rsidP="00AC7481">
            <w:pPr>
              <w:widowControl w:val="0"/>
              <w:spacing w:after="0" w:line="276" w:lineRule="auto"/>
              <w:rPr>
                <w:rFonts w:ascii="Arial" w:eastAsia="Arial" w:hAnsi="Arial" w:cs="Arial"/>
                <w:sz w:val="20"/>
                <w:szCs w:val="20"/>
              </w:rPr>
            </w:pPr>
            <w:r>
              <w:t>2</w:t>
            </w:r>
            <w:r w:rsidR="00E46E41">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C7F2C12"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123</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5CA6098"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8</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FE86795"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6,5</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1DA9A17"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20</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A5651D3"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16,3</w:t>
            </w:r>
          </w:p>
        </w:tc>
      </w:tr>
      <w:tr w:rsidR="009C79BC" w14:paraId="579D83CE"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CD4AB7D" w14:textId="1B906328" w:rsidR="009C79BC" w:rsidRPr="00E46E41" w:rsidRDefault="00E46E41" w:rsidP="00E46E41">
            <w:pPr>
              <w:widowControl w:val="0"/>
              <w:spacing w:after="0" w:line="276" w:lineRule="auto"/>
              <w:rPr>
                <w:rFonts w:ascii="Arial" w:eastAsia="Arial" w:hAnsi="Arial" w:cs="Arial"/>
                <w:sz w:val="20"/>
                <w:szCs w:val="20"/>
              </w:rPr>
            </w:pPr>
            <w:r>
              <w:rPr>
                <w:rFonts w:ascii="Arial" w:eastAsia="Arial" w:hAnsi="Arial" w:cs="Arial"/>
                <w:sz w:val="20"/>
                <w:szCs w:val="20"/>
              </w:rPr>
              <w:t xml:space="preserve">3. </w:t>
            </w:r>
            <w:r w:rsidRPr="00E46E41">
              <w:rPr>
                <w:rFonts w:ascii="Arial" w:eastAsia="Arial" w:hAnsi="Arial" w:cs="Arial"/>
                <w:sz w:val="20"/>
                <w:szCs w:val="20"/>
              </w:rPr>
              <w:t>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5C397C7"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458</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BA27E10"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21</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3CB24AD"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4,6</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34AB3CD"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157</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3E086BC"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34,3</w:t>
            </w:r>
          </w:p>
        </w:tc>
      </w:tr>
      <w:tr w:rsidR="009C79BC" w14:paraId="427811E0"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0D667CD" w14:textId="2EA7EF35" w:rsidR="009C79BC" w:rsidRPr="00E46E41" w:rsidRDefault="00E46E41" w:rsidP="00E46E41">
            <w:pPr>
              <w:widowControl w:val="0"/>
              <w:spacing w:after="0" w:line="276" w:lineRule="auto"/>
              <w:rPr>
                <w:rFonts w:ascii="Arial" w:eastAsia="Arial" w:hAnsi="Arial" w:cs="Arial"/>
                <w:sz w:val="20"/>
                <w:szCs w:val="20"/>
              </w:rPr>
            </w:pPr>
            <w:r>
              <w:rPr>
                <w:rFonts w:ascii="Arial" w:eastAsia="Arial" w:hAnsi="Arial" w:cs="Arial"/>
                <w:sz w:val="20"/>
                <w:szCs w:val="20"/>
              </w:rPr>
              <w:t>4.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C5907E0"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145</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E900581"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10</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62FD345"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6,9</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3C8DAC1"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17</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B7CEC0A"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11,7</w:t>
            </w:r>
          </w:p>
        </w:tc>
      </w:tr>
      <w:tr w:rsidR="009C79BC" w14:paraId="66F9DB05"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3529AD7" w14:textId="25F15617" w:rsidR="009C79BC" w:rsidRDefault="009C79BC" w:rsidP="00AC7481">
            <w:pPr>
              <w:widowControl w:val="0"/>
              <w:spacing w:after="0" w:line="276" w:lineRule="auto"/>
              <w:rPr>
                <w:rFonts w:ascii="Arial" w:eastAsia="Arial" w:hAnsi="Arial" w:cs="Arial"/>
                <w:sz w:val="20"/>
                <w:szCs w:val="20"/>
              </w:rPr>
            </w:pPr>
            <w:r>
              <w:t>6</w:t>
            </w:r>
            <w:r w:rsidR="00E46E41">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30AE320"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539</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3B8253B"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31</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A7923C6"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5,8</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45E2684"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121</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AF869A6"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22,4</w:t>
            </w:r>
          </w:p>
        </w:tc>
      </w:tr>
      <w:tr w:rsidR="009C79BC" w14:paraId="49258BE2"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A54473B" w14:textId="22168818" w:rsidR="009C79BC" w:rsidRDefault="009C79BC" w:rsidP="00AC7481">
            <w:pPr>
              <w:widowControl w:val="0"/>
              <w:spacing w:after="0" w:line="276" w:lineRule="auto"/>
              <w:rPr>
                <w:rFonts w:ascii="Arial" w:eastAsia="Arial" w:hAnsi="Arial" w:cs="Arial"/>
                <w:sz w:val="20"/>
                <w:szCs w:val="20"/>
              </w:rPr>
            </w:pPr>
            <w:r>
              <w:t>7</w:t>
            </w:r>
            <w:r w:rsidR="00E46E41">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E3D51F1"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13</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17D442D" w14:textId="77777777" w:rsidR="009C79BC" w:rsidRPr="00F72B3A" w:rsidRDefault="009C79BC" w:rsidP="00AC7481">
            <w:pPr>
              <w:widowControl w:val="0"/>
              <w:spacing w:after="0" w:line="276" w:lineRule="auto"/>
              <w:jc w:val="right"/>
              <w:rPr>
                <w:rFonts w:eastAsia="Arial" w:cstheme="minorHAnsi"/>
              </w:rPr>
            </w:pPr>
            <w:r w:rsidRPr="00F72B3A">
              <w:rPr>
                <w:rFonts w:eastAsia="Arial" w:cstheme="minorHAnsi"/>
              </w:rPr>
              <w:t>0</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DAD199C"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0,0</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4BC5668"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10</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84BA5D4"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76,9</w:t>
            </w:r>
          </w:p>
        </w:tc>
      </w:tr>
      <w:tr w:rsidR="009C79BC" w14:paraId="67AAC272"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0743D16" w14:textId="7724A2EE" w:rsidR="009C79BC" w:rsidRDefault="009C79BC" w:rsidP="00AC7481">
            <w:pPr>
              <w:widowControl w:val="0"/>
              <w:spacing w:after="0" w:line="276" w:lineRule="auto"/>
              <w:rPr>
                <w:rFonts w:ascii="Arial" w:eastAsia="Arial" w:hAnsi="Arial" w:cs="Arial"/>
                <w:sz w:val="20"/>
                <w:szCs w:val="20"/>
                <w:highlight w:val="white"/>
              </w:rPr>
            </w:pPr>
            <w:r>
              <w:rPr>
                <w:highlight w:val="white"/>
              </w:rPr>
              <w:t>8</w:t>
            </w:r>
            <w:r w:rsidR="00E46E41">
              <w:rPr>
                <w:highlight w:val="white"/>
              </w:rPr>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658429E"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28</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3008822"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5</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67346F0"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17,9</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F751CB6"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14</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ADB3C73"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50,0</w:t>
            </w:r>
          </w:p>
        </w:tc>
      </w:tr>
      <w:tr w:rsidR="009C79BC" w14:paraId="3A1B715B"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CF271DF" w14:textId="3F907F01" w:rsidR="009C79BC" w:rsidRDefault="009C79BC" w:rsidP="00AC7481">
            <w:pPr>
              <w:widowControl w:val="0"/>
              <w:spacing w:after="0" w:line="276" w:lineRule="auto"/>
              <w:rPr>
                <w:rFonts w:ascii="Arial" w:eastAsia="Arial" w:hAnsi="Arial" w:cs="Arial"/>
                <w:sz w:val="20"/>
                <w:szCs w:val="20"/>
                <w:highlight w:val="white"/>
              </w:rPr>
            </w:pPr>
            <w:r>
              <w:rPr>
                <w:highlight w:val="white"/>
              </w:rPr>
              <w:t>9</w:t>
            </w:r>
            <w:r w:rsidR="00E46E41">
              <w:rPr>
                <w:highlight w:val="white"/>
              </w:rPr>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C07456A"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101</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DFEBF55"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14</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0FF1931"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13,9</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5762333"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20</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031306C" w14:textId="77777777" w:rsidR="009C79BC" w:rsidRPr="00F72B3A" w:rsidRDefault="009C79BC" w:rsidP="00AC7481">
            <w:pPr>
              <w:widowControl w:val="0"/>
              <w:spacing w:after="0" w:line="276" w:lineRule="auto"/>
              <w:jc w:val="right"/>
              <w:rPr>
                <w:rFonts w:eastAsia="Arial" w:cstheme="minorHAnsi"/>
              </w:rPr>
            </w:pPr>
            <w:r w:rsidRPr="00F72B3A">
              <w:rPr>
                <w:rFonts w:cstheme="minorHAnsi"/>
              </w:rPr>
              <w:t>19,8</w:t>
            </w:r>
          </w:p>
        </w:tc>
      </w:tr>
      <w:tr w:rsidR="009C79BC" w14:paraId="79BF65E2"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9D88CE5" w14:textId="2E776B8F" w:rsidR="009C79BC" w:rsidRDefault="009C79BC" w:rsidP="00AC7481">
            <w:pPr>
              <w:widowControl w:val="0"/>
              <w:spacing w:after="0" w:line="276" w:lineRule="auto"/>
              <w:rPr>
                <w:rFonts w:ascii="Arial" w:eastAsia="Arial" w:hAnsi="Arial" w:cs="Arial"/>
                <w:sz w:val="20"/>
                <w:szCs w:val="20"/>
                <w:highlight w:val="white"/>
              </w:rPr>
            </w:pPr>
            <w:r>
              <w:rPr>
                <w:highlight w:val="white"/>
              </w:rPr>
              <w:t>10</w:t>
            </w:r>
            <w:r w:rsidR="00E46E41">
              <w:t>.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3A2090E"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388</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A422C16" w14:textId="66BF409F"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highlight w:val="white"/>
              </w:rPr>
              <w:t>2</w:t>
            </w:r>
            <w:r w:rsidR="00B66F13">
              <w:rPr>
                <w:rFonts w:cstheme="minorHAnsi"/>
                <w:highlight w:val="white"/>
              </w:rPr>
              <w:t>5</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7A22533" w14:textId="6FC88F62" w:rsidR="009C79BC" w:rsidRPr="00F72B3A" w:rsidRDefault="00B66F13" w:rsidP="00AC7481">
            <w:pPr>
              <w:widowControl w:val="0"/>
              <w:spacing w:after="0" w:line="276" w:lineRule="auto"/>
              <w:jc w:val="right"/>
              <w:rPr>
                <w:rFonts w:eastAsia="Arial" w:cstheme="minorHAnsi"/>
                <w:highlight w:val="white"/>
              </w:rPr>
            </w:pPr>
            <w:r>
              <w:rPr>
                <w:rFonts w:eastAsia="Arial" w:cstheme="minorHAnsi"/>
                <w:highlight w:val="white"/>
              </w:rPr>
              <w:t>6,4</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27A143B" w14:textId="3CF72518" w:rsidR="009C79BC" w:rsidRPr="00F72B3A" w:rsidRDefault="005731BD" w:rsidP="00FD5B65">
            <w:pPr>
              <w:widowControl w:val="0"/>
              <w:spacing w:after="0" w:line="276" w:lineRule="auto"/>
              <w:jc w:val="right"/>
              <w:rPr>
                <w:rFonts w:eastAsia="Arial" w:cstheme="minorHAnsi"/>
              </w:rPr>
            </w:pPr>
            <w:r w:rsidRPr="00F72B3A">
              <w:rPr>
                <w:rFonts w:cstheme="minorHAnsi"/>
              </w:rPr>
              <w:t>12</w:t>
            </w:r>
            <w:r w:rsidR="004504EA" w:rsidRPr="00F72B3A">
              <w:rPr>
                <w:rFonts w:cstheme="minorHAnsi"/>
              </w:rPr>
              <w:t>1</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066FB31" w14:textId="76E6DB3D" w:rsidR="009C79BC" w:rsidRPr="00F72B3A" w:rsidRDefault="005731BD" w:rsidP="00FD5B65">
            <w:pPr>
              <w:widowControl w:val="0"/>
              <w:spacing w:after="0" w:line="276" w:lineRule="auto"/>
              <w:jc w:val="right"/>
              <w:rPr>
                <w:rFonts w:eastAsia="Arial" w:cstheme="minorHAnsi"/>
              </w:rPr>
            </w:pPr>
            <w:r w:rsidRPr="00F72B3A">
              <w:rPr>
                <w:rFonts w:cstheme="minorHAnsi"/>
              </w:rPr>
              <w:t>3</w:t>
            </w:r>
            <w:r w:rsidR="004504EA" w:rsidRPr="00F72B3A">
              <w:rPr>
                <w:rFonts w:cstheme="minorHAnsi"/>
              </w:rPr>
              <w:t>1,2</w:t>
            </w:r>
          </w:p>
        </w:tc>
      </w:tr>
      <w:tr w:rsidR="00E46E41" w14:paraId="137426F2"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03577E8" w14:textId="0BA5E210" w:rsidR="00E46E41" w:rsidRDefault="00E46E41" w:rsidP="00AC7481">
            <w:pPr>
              <w:widowControl w:val="0"/>
              <w:spacing w:after="0" w:line="276" w:lineRule="auto"/>
              <w:rPr>
                <w:highlight w:val="white"/>
              </w:rPr>
            </w:pPr>
            <w:r>
              <w:rPr>
                <w:highlight w:val="white"/>
              </w:rPr>
              <w:t>11. VS</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E45CC3B" w14:textId="6677046F" w:rsidR="00E46E41" w:rsidRPr="00F72B3A" w:rsidRDefault="00E46E41" w:rsidP="00AC7481">
            <w:pPr>
              <w:widowControl w:val="0"/>
              <w:spacing w:after="0" w:line="276" w:lineRule="auto"/>
              <w:jc w:val="right"/>
              <w:rPr>
                <w:rFonts w:cstheme="minorHAnsi"/>
                <w:highlight w:val="white"/>
              </w:rPr>
            </w:pPr>
            <w:r w:rsidRPr="00F72B3A">
              <w:rPr>
                <w:rFonts w:cstheme="minorHAnsi"/>
                <w:highlight w:val="white"/>
              </w:rPr>
              <w:t>121</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6B8E22E" w14:textId="13E6F120" w:rsidR="00E46E41" w:rsidRPr="00F72B3A" w:rsidRDefault="00B66F13" w:rsidP="00AC7481">
            <w:pPr>
              <w:widowControl w:val="0"/>
              <w:spacing w:after="0" w:line="276" w:lineRule="auto"/>
              <w:jc w:val="right"/>
              <w:rPr>
                <w:rFonts w:cstheme="minorHAnsi"/>
                <w:highlight w:val="white"/>
              </w:rPr>
            </w:pPr>
            <w:r>
              <w:rPr>
                <w:rFonts w:cstheme="minorHAnsi"/>
                <w:highlight w:val="white"/>
              </w:rPr>
              <w:t>7</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DC9C42B" w14:textId="6E9087AD" w:rsidR="00E46E41" w:rsidRPr="00F72B3A" w:rsidRDefault="00B66F13" w:rsidP="00AC7481">
            <w:pPr>
              <w:widowControl w:val="0"/>
              <w:spacing w:after="0" w:line="276" w:lineRule="auto"/>
              <w:jc w:val="right"/>
              <w:rPr>
                <w:rFonts w:cstheme="minorHAnsi"/>
                <w:highlight w:val="white"/>
              </w:rPr>
            </w:pPr>
            <w:r>
              <w:rPr>
                <w:rFonts w:cstheme="minorHAnsi"/>
                <w:highlight w:val="white"/>
              </w:rPr>
              <w:t>5,8</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0778E12" w14:textId="12AB0DD8" w:rsidR="00E46E41" w:rsidRPr="00F72B3A" w:rsidRDefault="00E46E41" w:rsidP="00FD5B65">
            <w:pPr>
              <w:widowControl w:val="0"/>
              <w:spacing w:after="0" w:line="276" w:lineRule="auto"/>
              <w:jc w:val="right"/>
              <w:rPr>
                <w:rFonts w:cstheme="minorHAnsi"/>
              </w:rPr>
            </w:pPr>
            <w:r w:rsidRPr="00F72B3A">
              <w:rPr>
                <w:rFonts w:cstheme="minorHAnsi"/>
              </w:rPr>
              <w:t>24</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5922A78" w14:textId="04F5D0AD" w:rsidR="00E46E41" w:rsidRPr="00F72B3A" w:rsidRDefault="00AA3C29" w:rsidP="00FD5B65">
            <w:pPr>
              <w:widowControl w:val="0"/>
              <w:spacing w:after="0" w:line="276" w:lineRule="auto"/>
              <w:jc w:val="right"/>
              <w:rPr>
                <w:rFonts w:cstheme="minorHAnsi"/>
              </w:rPr>
            </w:pPr>
            <w:r w:rsidRPr="00F72B3A">
              <w:rPr>
                <w:rFonts w:cstheme="minorHAnsi"/>
              </w:rPr>
              <w:t>19,8</w:t>
            </w:r>
          </w:p>
        </w:tc>
      </w:tr>
      <w:tr w:rsidR="009C79BC" w14:paraId="7005695D" w14:textId="77777777" w:rsidTr="00AC7481">
        <w:trPr>
          <w:trHeight w:val="345"/>
        </w:trPr>
        <w:tc>
          <w:tcPr>
            <w:tcW w:w="153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EB47C33" w14:textId="77777777" w:rsidR="009C79BC" w:rsidRDefault="009C79BC" w:rsidP="00AC7481">
            <w:pPr>
              <w:widowControl w:val="0"/>
              <w:spacing w:after="0" w:line="276" w:lineRule="auto"/>
              <w:rPr>
                <w:rFonts w:ascii="Arial" w:eastAsia="Arial" w:hAnsi="Arial" w:cs="Arial"/>
                <w:sz w:val="20"/>
                <w:szCs w:val="20"/>
                <w:highlight w:val="white"/>
              </w:rPr>
            </w:pPr>
            <w:r>
              <w:rPr>
                <w:b/>
                <w:highlight w:val="white"/>
              </w:rPr>
              <w:t>Celkem</w:t>
            </w:r>
          </w:p>
        </w:tc>
        <w:tc>
          <w:tcPr>
            <w:tcW w:w="127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D0D75FD" w14:textId="5EEF9AF9"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b/>
                <w:highlight w:val="white"/>
              </w:rPr>
              <w:t xml:space="preserve">2 </w:t>
            </w:r>
            <w:r w:rsidR="00AA3C29" w:rsidRPr="00F72B3A">
              <w:rPr>
                <w:rFonts w:cstheme="minorHAnsi"/>
                <w:b/>
                <w:highlight w:val="white"/>
              </w:rPr>
              <w:t>312</w:t>
            </w:r>
          </w:p>
        </w:tc>
        <w:tc>
          <w:tcPr>
            <w:tcW w:w="14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8742CFE" w14:textId="4733952E"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b/>
                <w:highlight w:val="white"/>
              </w:rPr>
              <w:t>12</w:t>
            </w:r>
            <w:r w:rsidR="00AA3C29" w:rsidRPr="00F72B3A">
              <w:rPr>
                <w:rFonts w:cstheme="minorHAnsi"/>
                <w:b/>
                <w:highlight w:val="white"/>
              </w:rPr>
              <w:t>8</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BEF146C" w14:textId="77777777" w:rsidR="009C79BC" w:rsidRPr="00F72B3A" w:rsidRDefault="009C79BC" w:rsidP="00AC7481">
            <w:pPr>
              <w:widowControl w:val="0"/>
              <w:spacing w:after="0" w:line="276" w:lineRule="auto"/>
              <w:jc w:val="right"/>
              <w:rPr>
                <w:rFonts w:eastAsia="Arial" w:cstheme="minorHAnsi"/>
                <w:highlight w:val="white"/>
              </w:rPr>
            </w:pPr>
            <w:r w:rsidRPr="00F72B3A">
              <w:rPr>
                <w:rFonts w:cstheme="minorHAnsi"/>
                <w:b/>
                <w:highlight w:val="white"/>
              </w:rPr>
              <w:t>5,6</w:t>
            </w:r>
          </w:p>
        </w:tc>
        <w:tc>
          <w:tcPr>
            <w:tcW w:w="151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DEF285C" w14:textId="5FE91426" w:rsidR="009C79BC" w:rsidRPr="00F72B3A" w:rsidRDefault="005731BD" w:rsidP="00AC7481">
            <w:pPr>
              <w:widowControl w:val="0"/>
              <w:spacing w:after="0" w:line="276" w:lineRule="auto"/>
              <w:jc w:val="right"/>
              <w:rPr>
                <w:rFonts w:eastAsia="Arial" w:cstheme="minorHAnsi"/>
              </w:rPr>
            </w:pPr>
            <w:r w:rsidRPr="00F72B3A">
              <w:rPr>
                <w:rFonts w:cstheme="minorHAnsi"/>
                <w:b/>
              </w:rPr>
              <w:t>6</w:t>
            </w:r>
            <w:r w:rsidR="00AA3C29" w:rsidRPr="00F72B3A">
              <w:rPr>
                <w:rFonts w:cstheme="minorHAnsi"/>
                <w:b/>
              </w:rPr>
              <w:t>7</w:t>
            </w:r>
            <w:r w:rsidR="004F1C9F" w:rsidRPr="00F72B3A">
              <w:rPr>
                <w:rFonts w:cstheme="minorHAnsi"/>
                <w:b/>
              </w:rPr>
              <w:t>0</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AEC22F2" w14:textId="5FA6D4F1" w:rsidR="009C79BC" w:rsidRPr="00F72B3A" w:rsidRDefault="005731BD" w:rsidP="00AC7481">
            <w:pPr>
              <w:widowControl w:val="0"/>
              <w:spacing w:after="0" w:line="276" w:lineRule="auto"/>
              <w:jc w:val="right"/>
              <w:rPr>
                <w:rFonts w:eastAsia="Arial" w:cstheme="minorHAnsi"/>
              </w:rPr>
            </w:pPr>
            <w:r w:rsidRPr="00F72B3A">
              <w:rPr>
                <w:rFonts w:cstheme="minorHAnsi"/>
                <w:b/>
              </w:rPr>
              <w:t>29</w:t>
            </w:r>
            <w:r w:rsidR="004F1C9F" w:rsidRPr="00F72B3A">
              <w:rPr>
                <w:rFonts w:cstheme="minorHAnsi"/>
                <w:b/>
              </w:rPr>
              <w:t>,0</w:t>
            </w:r>
          </w:p>
        </w:tc>
      </w:tr>
    </w:tbl>
    <w:p w14:paraId="7CC4E05A" w14:textId="2964EF03" w:rsidR="00020253" w:rsidRDefault="00020253" w:rsidP="00A83B28">
      <w:pPr>
        <w:spacing w:after="120" w:line="24" w:lineRule="atLeast"/>
        <w:jc w:val="both"/>
        <w:rPr>
          <w:rFonts w:asciiTheme="majorHAnsi" w:hAnsiTheme="majorHAnsi" w:cs="Arial"/>
        </w:rPr>
      </w:pPr>
    </w:p>
    <w:p w14:paraId="2B4F20EE" w14:textId="77777777" w:rsidR="00217CAE" w:rsidRDefault="00217CAE">
      <w:pPr>
        <w:spacing w:after="200" w:line="276" w:lineRule="auto"/>
        <w:rPr>
          <w:rFonts w:asciiTheme="majorHAnsi" w:eastAsiaTheme="majorEastAsia" w:hAnsiTheme="majorHAnsi" w:cstheme="majorBidi"/>
          <w:b/>
          <w:color w:val="004B8D" w:themeColor="text2"/>
          <w:sz w:val="28"/>
          <w:szCs w:val="32"/>
        </w:rPr>
      </w:pPr>
      <w:r>
        <w:br w:type="page"/>
      </w:r>
    </w:p>
    <w:p w14:paraId="314CD764" w14:textId="7D57C5E0" w:rsidR="009F26B4" w:rsidRDefault="009F26B4" w:rsidP="00F65956">
      <w:pPr>
        <w:pStyle w:val="Nadpis1"/>
      </w:pPr>
      <w:bookmarkStart w:id="10" w:name="_Toc185334552"/>
      <w:r>
        <w:lastRenderedPageBreak/>
        <w:t>PRŮBĚH IMPLEMENTACE PROGRAMU</w:t>
      </w:r>
      <w:bookmarkEnd w:id="10"/>
    </w:p>
    <w:p w14:paraId="3927CA0C" w14:textId="542DF5C6" w:rsidR="00495A1B" w:rsidRDefault="00495A1B" w:rsidP="00AA3C29">
      <w:pPr>
        <w:pStyle w:val="Nadpis2"/>
      </w:pPr>
      <w:bookmarkStart w:id="11" w:name="_Toc185334553"/>
      <w:r>
        <w:t>Nastavení spolupráce MPO a</w:t>
      </w:r>
      <w:r w:rsidR="00CE7C79">
        <w:t> </w:t>
      </w:r>
      <w:r>
        <w:t>TAČR</w:t>
      </w:r>
      <w:bookmarkEnd w:id="11"/>
    </w:p>
    <w:p w14:paraId="2FAC5742" w14:textId="32468D17" w:rsidR="007E7F04" w:rsidRPr="0068727A" w:rsidRDefault="00495A1B" w:rsidP="00544EB6">
      <w:pPr>
        <w:spacing w:after="120"/>
        <w:jc w:val="both"/>
        <w:rPr>
          <w:shd w:val="clear" w:color="auto" w:fill="93C47D"/>
        </w:rPr>
      </w:pPr>
      <w:r w:rsidRPr="0068727A">
        <w:t>Program TREND byl prvním tzv. rezortním programem, připraveným gesčně příslušným rezortem a</w:t>
      </w:r>
      <w:r w:rsidR="00CE7C79">
        <w:t> </w:t>
      </w:r>
      <w:r w:rsidRPr="0068727A">
        <w:t>implementovaným Technologickou agenturou ČR. Zpočátku tedy bylo nutné nastavit odpovědnosti a</w:t>
      </w:r>
      <w:r w:rsidR="00CE7C79">
        <w:t> </w:t>
      </w:r>
      <w:r w:rsidRPr="0068727A">
        <w:t>způsob spolupráce obou institucí</w:t>
      </w:r>
      <w:r w:rsidR="007E7F04" w:rsidRPr="0068727A">
        <w:t xml:space="preserve">. </w:t>
      </w:r>
      <w:r w:rsidR="00FE458A" w:rsidRPr="0068727A">
        <w:t>Ty jsou v</w:t>
      </w:r>
      <w:r w:rsidR="00CE7C79">
        <w:t> </w:t>
      </w:r>
      <w:r w:rsidR="00FE458A" w:rsidRPr="0068727A">
        <w:t xml:space="preserve">základní rovině stanoveny přílohou </w:t>
      </w:r>
      <w:r w:rsidR="007E7F04" w:rsidRPr="0068727A">
        <w:t>usnesení vlády č. 202 ze dne 25. 3. 2019</w:t>
      </w:r>
      <w:r w:rsidR="00FE458A" w:rsidRPr="0068727A">
        <w:t xml:space="preserve"> </w:t>
      </w:r>
      <w:r w:rsidR="00A06F3E">
        <w:t>„</w:t>
      </w:r>
      <w:r w:rsidR="007E7F04" w:rsidRPr="0068727A">
        <w:t>Parametry spolupráce MPO a</w:t>
      </w:r>
      <w:r w:rsidR="00CE7C79">
        <w:t> </w:t>
      </w:r>
      <w:r w:rsidR="007E7F04" w:rsidRPr="0068727A">
        <w:t>TA ČR při implementaci programu TREND”.</w:t>
      </w:r>
    </w:p>
    <w:p w14:paraId="019C39E0" w14:textId="2381E70D" w:rsidR="007E7F04" w:rsidRPr="0068727A" w:rsidRDefault="007E7F04" w:rsidP="00544EB6">
      <w:pPr>
        <w:spacing w:after="120"/>
        <w:jc w:val="both"/>
        <w:rPr>
          <w:shd w:val="clear" w:color="auto" w:fill="93C47D"/>
        </w:rPr>
      </w:pPr>
      <w:r w:rsidRPr="0068727A">
        <w:t>V prvé řadě bylo potřeba vytvořit komunikační platformu, která by vedla k</w:t>
      </w:r>
      <w:r w:rsidR="00CE7C79">
        <w:t> </w:t>
      </w:r>
      <w:r w:rsidRPr="0068727A">
        <w:t xml:space="preserve">implementaci </w:t>
      </w:r>
      <w:r w:rsidR="00F72B3A">
        <w:t>P</w:t>
      </w:r>
      <w:r w:rsidRPr="0068727A">
        <w:t>rogramu ve shodě s</w:t>
      </w:r>
      <w:r w:rsidR="00CE7C79">
        <w:t> </w:t>
      </w:r>
      <w:r w:rsidRPr="0068727A">
        <w:t>usnesením vlády a</w:t>
      </w:r>
      <w:r w:rsidR="00CE7C79">
        <w:t> </w:t>
      </w:r>
      <w:r w:rsidRPr="0068727A">
        <w:t>jeho přílohami a</w:t>
      </w:r>
      <w:r w:rsidR="00CE7C79">
        <w:t> </w:t>
      </w:r>
      <w:r w:rsidRPr="0068727A">
        <w:t>reflektovala aktuální požadavky MPO a</w:t>
      </w:r>
      <w:r w:rsidR="00CE7C79">
        <w:t> </w:t>
      </w:r>
      <w:r w:rsidRPr="0068727A">
        <w:t>možnosti TA ČR. Proto TA ČR ustanovila pokynem ředitele ze dne 20. 2. 2019 programový tým TREND, který je složen ze zástupců MPO a</w:t>
      </w:r>
      <w:r w:rsidR="00CE7C79">
        <w:t> </w:t>
      </w:r>
      <w:r w:rsidRPr="0068727A">
        <w:t>TA ČR. Za TA ČR je tým složen ze zástupců všech relevantních oddělení, kteří jsou delegováni pro realizaci programu TREND.</w:t>
      </w:r>
      <w:r w:rsidRPr="0068727A">
        <w:rPr>
          <w:shd w:val="clear" w:color="auto" w:fill="93C47D"/>
        </w:rPr>
        <w:t xml:space="preserve"> </w:t>
      </w:r>
    </w:p>
    <w:p w14:paraId="6164F102" w14:textId="76ED72D5" w:rsidR="007E7F04" w:rsidRPr="0068727A" w:rsidRDefault="007E7F04" w:rsidP="00544EB6">
      <w:pPr>
        <w:spacing w:after="120"/>
        <w:jc w:val="both"/>
        <w:rPr>
          <w:shd w:val="clear" w:color="auto" w:fill="93C47D"/>
        </w:rPr>
      </w:pPr>
      <w:r w:rsidRPr="0068727A">
        <w:t xml:space="preserve">Programový tým TREND (dále též “PT TREND”) se od té doby sešel </w:t>
      </w:r>
      <w:r w:rsidR="00217CAE">
        <w:t>více ne</w:t>
      </w:r>
      <w:r w:rsidR="00217CAE" w:rsidRPr="00217CAE">
        <w:t>ž</w:t>
      </w:r>
      <w:r w:rsidRPr="00217CAE">
        <w:t xml:space="preserve"> padesátkrát a</w:t>
      </w:r>
      <w:r w:rsidR="00CE7C79" w:rsidRPr="00217CAE">
        <w:t> </w:t>
      </w:r>
      <w:r w:rsidRPr="00217CAE">
        <w:t>v j</w:t>
      </w:r>
      <w:r w:rsidRPr="0068727A">
        <w:t>eho rámci jsou nastavovány parametry, procesy, postupy a</w:t>
      </w:r>
      <w:r w:rsidR="00CE7C79">
        <w:t> </w:t>
      </w:r>
      <w:r w:rsidRPr="0068727A">
        <w:t>další náležitosti související s</w:t>
      </w:r>
      <w:r w:rsidR="00CE7C79">
        <w:t> </w:t>
      </w:r>
      <w:r w:rsidRPr="0068727A">
        <w:t>realizací programu TREND. Z</w:t>
      </w:r>
      <w:r w:rsidR="00CE7C79">
        <w:t> </w:t>
      </w:r>
      <w:r w:rsidRPr="0068727A">
        <w:t>každého jednání programového týmu je vypracován zápis.</w:t>
      </w:r>
      <w:r w:rsidRPr="0068727A">
        <w:rPr>
          <w:shd w:val="clear" w:color="auto" w:fill="93C47D"/>
        </w:rPr>
        <w:t xml:space="preserve"> </w:t>
      </w:r>
    </w:p>
    <w:p w14:paraId="787EC120" w14:textId="095389FA" w:rsidR="007E7F04" w:rsidRPr="0068727A" w:rsidRDefault="007E7F04" w:rsidP="00544EB6">
      <w:pPr>
        <w:spacing w:after="120"/>
        <w:jc w:val="both"/>
        <w:rPr>
          <w:shd w:val="clear" w:color="auto" w:fill="93C47D"/>
        </w:rPr>
      </w:pPr>
      <w:r w:rsidRPr="0068727A">
        <w:t>Nad rámec vlastního jednání byly ustanoveny komunikační kanály a</w:t>
      </w:r>
      <w:r w:rsidR="00CE7C79">
        <w:t> </w:t>
      </w:r>
      <w:r w:rsidRPr="0068727A">
        <w:t>sdílené prostředí, které dále napomáhají a</w:t>
      </w:r>
      <w:r w:rsidR="00CE7C79">
        <w:t> </w:t>
      </w:r>
      <w:r w:rsidRPr="0068727A">
        <w:t xml:space="preserve">rozvíjejí možnosti implementace </w:t>
      </w:r>
      <w:r w:rsidR="00F72B3A">
        <w:t>P</w:t>
      </w:r>
      <w:r w:rsidRPr="0068727A">
        <w:t>rogramu.</w:t>
      </w:r>
      <w:r w:rsidR="00FE458A" w:rsidRPr="0068727A">
        <w:t xml:space="preserve"> </w:t>
      </w:r>
      <w:r w:rsidR="00B66F13">
        <w:t xml:space="preserve">Obě strany </w:t>
      </w:r>
      <w:r w:rsidR="00FE458A" w:rsidRPr="0068727A">
        <w:t xml:space="preserve">přitom </w:t>
      </w:r>
      <w:r w:rsidR="00EF71D6" w:rsidRPr="0068727A">
        <w:t xml:space="preserve">opakovaně </w:t>
      </w:r>
      <w:r w:rsidR="00FE458A" w:rsidRPr="0068727A">
        <w:t>naráž</w:t>
      </w:r>
      <w:r w:rsidR="00B66F13">
        <w:t>ely</w:t>
      </w:r>
      <w:r w:rsidR="00FE458A" w:rsidRPr="0068727A">
        <w:t xml:space="preserve"> na </w:t>
      </w:r>
      <w:r w:rsidR="00EF71D6" w:rsidRPr="0068727A">
        <w:t xml:space="preserve">určitou </w:t>
      </w:r>
      <w:r w:rsidR="00FE458A" w:rsidRPr="0068727A">
        <w:t>komunikační bariéru danou odlišnými technickými prostředky, zejména software a</w:t>
      </w:r>
      <w:r w:rsidR="00CE7C79">
        <w:t> </w:t>
      </w:r>
      <w:r w:rsidR="00FE458A" w:rsidRPr="0068727A">
        <w:t>úložišti</w:t>
      </w:r>
      <w:r w:rsidR="0068727A">
        <w:t>.</w:t>
      </w:r>
    </w:p>
    <w:p w14:paraId="4BAB882B" w14:textId="604D5DAF" w:rsidR="0068727A" w:rsidRDefault="00A06F3E" w:rsidP="00544EB6">
      <w:pPr>
        <w:spacing w:after="120"/>
        <w:jc w:val="both"/>
      </w:pPr>
      <w:r>
        <w:t xml:space="preserve">V rámci realizace Programu je </w:t>
      </w:r>
      <w:r w:rsidR="007E7F04" w:rsidRPr="0068727A">
        <w:t xml:space="preserve">TA ČR odpovědná </w:t>
      </w:r>
      <w:r w:rsidR="008534CE">
        <w:t xml:space="preserve">zejména </w:t>
      </w:r>
      <w:r w:rsidR="007E7F04" w:rsidRPr="0068727A">
        <w:t>za</w:t>
      </w:r>
      <w:r w:rsidR="0068727A">
        <w:t>:</w:t>
      </w:r>
    </w:p>
    <w:p w14:paraId="68A691D1" w14:textId="14919E65" w:rsidR="0068727A" w:rsidRDefault="0068727A" w:rsidP="00544EB6">
      <w:pPr>
        <w:pStyle w:val="Odstavecseseznamem"/>
        <w:numPr>
          <w:ilvl w:val="0"/>
          <w:numId w:val="29"/>
        </w:numPr>
        <w:spacing w:after="120"/>
        <w:jc w:val="both"/>
      </w:pPr>
      <w:r>
        <w:t>př</w:t>
      </w:r>
      <w:r w:rsidR="00A06F3E">
        <w:t>ípravu a vyhlášení</w:t>
      </w:r>
      <w:r>
        <w:t xml:space="preserve"> veřejn</w:t>
      </w:r>
      <w:r w:rsidR="00A06F3E">
        <w:t>é</w:t>
      </w:r>
      <w:r>
        <w:t xml:space="preserve"> soutěž</w:t>
      </w:r>
      <w:r w:rsidR="00A06F3E">
        <w:t>e, jejíž parametry a nastavení hodnoticího procesu konzultuje s MPO</w:t>
      </w:r>
      <w:r>
        <w:t>,</w:t>
      </w:r>
    </w:p>
    <w:p w14:paraId="5934FA42" w14:textId="2722B0A9" w:rsidR="0068727A" w:rsidRDefault="0068727A" w:rsidP="00544EB6">
      <w:pPr>
        <w:pStyle w:val="Odstavecseseznamem"/>
        <w:numPr>
          <w:ilvl w:val="0"/>
          <w:numId w:val="29"/>
        </w:numPr>
        <w:spacing w:after="120"/>
        <w:jc w:val="both"/>
      </w:pPr>
      <w:r>
        <w:t>realiz</w:t>
      </w:r>
      <w:r w:rsidR="00A06F3E">
        <w:t xml:space="preserve">aci veřejné soutěže, tedy příjem žádostí o podporu a zajištění </w:t>
      </w:r>
      <w:r>
        <w:t>hodnocení návrhů projektů,</w:t>
      </w:r>
      <w:r w:rsidR="00A06F3E">
        <w:t xml:space="preserve"> na</w:t>
      </w:r>
      <w:r w:rsidR="008534CE">
        <w:t> </w:t>
      </w:r>
      <w:r w:rsidR="00A06F3E">
        <w:t>kterém spolupracuje s</w:t>
      </w:r>
      <w:r w:rsidR="008534CE">
        <w:t> </w:t>
      </w:r>
      <w:r w:rsidR="00A06F3E">
        <w:t>MPO</w:t>
      </w:r>
      <w:r w:rsidR="008534CE">
        <w:t>,</w:t>
      </w:r>
    </w:p>
    <w:p w14:paraId="60718F11" w14:textId="4B1C353B" w:rsidR="0068727A" w:rsidRDefault="008534CE" w:rsidP="00544EB6">
      <w:pPr>
        <w:pStyle w:val="Odstavecseseznamem"/>
        <w:numPr>
          <w:ilvl w:val="0"/>
          <w:numId w:val="29"/>
        </w:numPr>
        <w:spacing w:after="120"/>
        <w:jc w:val="both"/>
      </w:pPr>
      <w:r>
        <w:t xml:space="preserve">uzavření </w:t>
      </w:r>
      <w:r w:rsidR="0068727A">
        <w:t>smluv</w:t>
      </w:r>
      <w:r>
        <w:t>ního vztahu s příjemcem a proplácení podpory</w:t>
      </w:r>
      <w:r w:rsidR="0068727A">
        <w:t xml:space="preserve">, </w:t>
      </w:r>
    </w:p>
    <w:p w14:paraId="7F8A57E3" w14:textId="38AEE859" w:rsidR="0068727A" w:rsidRDefault="0068727A" w:rsidP="00544EB6">
      <w:pPr>
        <w:pStyle w:val="Odstavecseseznamem"/>
        <w:numPr>
          <w:ilvl w:val="0"/>
          <w:numId w:val="29"/>
        </w:numPr>
        <w:spacing w:after="120"/>
        <w:jc w:val="both"/>
      </w:pPr>
      <w:r>
        <w:t>spr</w:t>
      </w:r>
      <w:r w:rsidR="008534CE">
        <w:t>ávu</w:t>
      </w:r>
      <w:r>
        <w:t xml:space="preserve"> projekt</w:t>
      </w:r>
      <w:r w:rsidR="008534CE">
        <w:t>ů</w:t>
      </w:r>
      <w:r>
        <w:t xml:space="preserve"> v</w:t>
      </w:r>
      <w:r w:rsidR="00CE7C79">
        <w:t> </w:t>
      </w:r>
      <w:r>
        <w:t>realizaci,</w:t>
      </w:r>
      <w:r w:rsidR="008534CE">
        <w:t xml:space="preserve"> včetně </w:t>
      </w:r>
      <w:r>
        <w:t>provádě</w:t>
      </w:r>
      <w:r w:rsidR="008534CE">
        <w:t>ní</w:t>
      </w:r>
      <w:r>
        <w:t xml:space="preserve"> </w:t>
      </w:r>
      <w:r w:rsidR="008534CE">
        <w:t>kontrol</w:t>
      </w:r>
      <w:r>
        <w:t xml:space="preserve"> podpořených projektů,</w:t>
      </w:r>
    </w:p>
    <w:p w14:paraId="795AA210" w14:textId="6F8880B0" w:rsidR="0068727A" w:rsidRDefault="008534CE" w:rsidP="00544EB6">
      <w:pPr>
        <w:pStyle w:val="Odstavecseseznamem"/>
        <w:numPr>
          <w:ilvl w:val="0"/>
          <w:numId w:val="29"/>
        </w:numPr>
        <w:spacing w:after="120"/>
        <w:jc w:val="both"/>
      </w:pPr>
      <w:r>
        <w:t>realizaci</w:t>
      </w:r>
      <w:r w:rsidR="0068727A">
        <w:t xml:space="preserve"> závěrečn</w:t>
      </w:r>
      <w:r>
        <w:t>ých</w:t>
      </w:r>
      <w:r w:rsidR="0068727A">
        <w:t xml:space="preserve"> </w:t>
      </w:r>
      <w:r>
        <w:t xml:space="preserve">oponentních řízení </w:t>
      </w:r>
      <w:r w:rsidR="0068727A">
        <w:t>projektů.</w:t>
      </w:r>
    </w:p>
    <w:p w14:paraId="4CD43E9B" w14:textId="0FB3787C" w:rsidR="00A06F3E" w:rsidRDefault="0068727A" w:rsidP="00A06F3E">
      <w:pPr>
        <w:spacing w:after="120"/>
        <w:jc w:val="both"/>
        <w:rPr>
          <w:highlight w:val="yellow"/>
        </w:rPr>
      </w:pPr>
      <w:r>
        <w:t xml:space="preserve">Průběžně je TA ČR odpovědná za </w:t>
      </w:r>
      <w:r w:rsidR="00217CAE">
        <w:t>komunikaci s uchazeči a příjemci, publikaci a zveřejňování informací o </w:t>
      </w:r>
      <w:r w:rsidR="00F72B3A">
        <w:t>P</w:t>
      </w:r>
      <w:r w:rsidR="00217CAE">
        <w:t xml:space="preserve">rogramu atd., a ve spolupráci s MPO především za </w:t>
      </w:r>
      <w:r>
        <w:t>sestavení a</w:t>
      </w:r>
      <w:r w:rsidR="00CE7C79">
        <w:t> </w:t>
      </w:r>
      <w:r>
        <w:t xml:space="preserve">zajištění rozpočtu </w:t>
      </w:r>
      <w:r w:rsidR="00F72B3A">
        <w:t>P</w:t>
      </w:r>
      <w:r>
        <w:t>rogramu</w:t>
      </w:r>
      <w:r w:rsidR="00217CAE">
        <w:t>.</w:t>
      </w:r>
      <w:r w:rsidR="00A06F3E" w:rsidRPr="00A06F3E">
        <w:rPr>
          <w:highlight w:val="yellow"/>
        </w:rPr>
        <w:t xml:space="preserve"> </w:t>
      </w:r>
    </w:p>
    <w:p w14:paraId="256A2BEF" w14:textId="77777777" w:rsidR="008534CE" w:rsidRPr="001C7D9A" w:rsidRDefault="008534CE" w:rsidP="008534CE">
      <w:pPr>
        <w:spacing w:after="120"/>
        <w:jc w:val="both"/>
        <w:rPr>
          <w:shd w:val="clear" w:color="auto" w:fill="93C47D"/>
        </w:rPr>
      </w:pPr>
      <w:r>
        <w:t>P</w:t>
      </w:r>
      <w:r w:rsidRPr="0068727A">
        <w:t>rogram TREND a</w:t>
      </w:r>
      <w:r>
        <w:t> </w:t>
      </w:r>
      <w:r w:rsidRPr="0068727A">
        <w:t>jeho implementace uchovává specifické podmínky, které se liší od podmínek a</w:t>
      </w:r>
      <w:r>
        <w:t> </w:t>
      </w:r>
      <w:r w:rsidRPr="0068727A">
        <w:t>pravidel v</w:t>
      </w:r>
      <w:r>
        <w:t> </w:t>
      </w:r>
      <w:r w:rsidRPr="0068727A">
        <w:t>ostatních resortních programech a</w:t>
      </w:r>
      <w:r>
        <w:t> </w:t>
      </w:r>
      <w:r w:rsidRPr="0068727A">
        <w:t>programech TA ČR (</w:t>
      </w:r>
      <w:r>
        <w:t xml:space="preserve">ať už v rámci hodnocení </w:t>
      </w:r>
      <w:r w:rsidRPr="0068727A">
        <w:t>počt</w:t>
      </w:r>
      <w:r>
        <w:t>em binárních či </w:t>
      </w:r>
      <w:r w:rsidRPr="0068727A">
        <w:t>bonifikační</w:t>
      </w:r>
      <w:r w:rsidRPr="001C7D9A">
        <w:t>ch kritérií či specifickými podmínkami smlouvy).</w:t>
      </w:r>
      <w:r w:rsidRPr="001C7D9A">
        <w:rPr>
          <w:shd w:val="clear" w:color="auto" w:fill="93C47D"/>
        </w:rPr>
        <w:t xml:space="preserve"> </w:t>
      </w:r>
    </w:p>
    <w:p w14:paraId="4EC84146" w14:textId="5411E03C" w:rsidR="00A06F3E" w:rsidRPr="001C7D9A" w:rsidRDefault="00A06F3E" w:rsidP="00A06F3E">
      <w:pPr>
        <w:spacing w:after="120"/>
        <w:jc w:val="both"/>
      </w:pPr>
      <w:r w:rsidRPr="001C7D9A">
        <w:t>Nastavení spolupráce gesčního rezortu a implementační agentury představovalo pro všechny aktéry výzvu, kterou se podařilo z větší části naplnit. TA ČR v roli implementační agentury resortního programu je jednou z možných variant uspořádání, je však třeba akceptovat také některé nedostatky toho způsobu. Mezi ně patří:</w:t>
      </w:r>
    </w:p>
    <w:p w14:paraId="642B974E" w14:textId="77777777" w:rsidR="008534CE" w:rsidRPr="001C7D9A" w:rsidRDefault="008534CE" w:rsidP="00A06F3E">
      <w:pPr>
        <w:pStyle w:val="Odstavecseseznamem"/>
        <w:numPr>
          <w:ilvl w:val="0"/>
          <w:numId w:val="48"/>
        </w:numPr>
        <w:spacing w:after="120"/>
        <w:jc w:val="both"/>
        <w:rPr>
          <w:shd w:val="clear" w:color="auto" w:fill="93C47D"/>
        </w:rPr>
      </w:pPr>
      <w:r w:rsidRPr="001C7D9A">
        <w:t>O</w:t>
      </w:r>
      <w:r w:rsidR="00A06F3E" w:rsidRPr="001C7D9A">
        <w:t>bjektivní systémové nedostatky v oblasti přípravy a schvalování rozpočtu</w:t>
      </w:r>
      <w:r w:rsidRPr="001C7D9A">
        <w:t>, kdy je v některých situacích velmi obtížné v praxi realizovat odpovědnost rezortu za část rozpočtové kapitoly jiné organizace</w:t>
      </w:r>
      <w:r w:rsidR="00A06F3E" w:rsidRPr="001C7D9A">
        <w:t>.</w:t>
      </w:r>
    </w:p>
    <w:p w14:paraId="737D014E" w14:textId="3AF9DD19" w:rsidR="00A06F3E" w:rsidRPr="001C7D9A" w:rsidRDefault="008534CE" w:rsidP="00A06F3E">
      <w:pPr>
        <w:pStyle w:val="Odstavecseseznamem"/>
        <w:numPr>
          <w:ilvl w:val="0"/>
          <w:numId w:val="48"/>
        </w:numPr>
        <w:spacing w:after="120"/>
        <w:jc w:val="both"/>
        <w:rPr>
          <w:shd w:val="clear" w:color="auto" w:fill="93C47D"/>
        </w:rPr>
      </w:pPr>
      <w:r w:rsidRPr="001C7D9A">
        <w:t>Komplikovanější přístup k datům, ať už k informacím o projektech či aktuálním informacím o rozpočtu Programu. Nejde přitom o kritiku přístupu zúčastněných stran, ale o prostou komplikaci vyplývající z nutné spolupráce dvou různých subjektů.</w:t>
      </w:r>
    </w:p>
    <w:p w14:paraId="451E38BD" w14:textId="64B13735" w:rsidR="000D594C" w:rsidRPr="00AA3C29" w:rsidRDefault="000D594C" w:rsidP="00AA3C29">
      <w:pPr>
        <w:pStyle w:val="Nadpis2"/>
      </w:pPr>
      <w:bookmarkStart w:id="12" w:name="_Toc185334554"/>
      <w:r w:rsidRPr="00AA3C29">
        <w:lastRenderedPageBreak/>
        <w:t>P</w:t>
      </w:r>
      <w:r w:rsidR="004308E3" w:rsidRPr="00AA3C29">
        <w:t>ostup p</w:t>
      </w:r>
      <w:r w:rsidRPr="00AA3C29">
        <w:t>říprav</w:t>
      </w:r>
      <w:r w:rsidR="004308E3" w:rsidRPr="00AA3C29">
        <w:t>y</w:t>
      </w:r>
      <w:r w:rsidRPr="00AA3C29">
        <w:t xml:space="preserve"> veřejných soutěží</w:t>
      </w:r>
      <w:bookmarkEnd w:id="12"/>
    </w:p>
    <w:p w14:paraId="2758E78A" w14:textId="13D3123E" w:rsidR="007E7F04" w:rsidRDefault="007E7F04" w:rsidP="00544EB6">
      <w:pPr>
        <w:spacing w:after="120"/>
        <w:jc w:val="both"/>
        <w:rPr>
          <w:shd w:val="clear" w:color="auto" w:fill="93C47D"/>
        </w:rPr>
      </w:pPr>
      <w:r w:rsidRPr="0068727A">
        <w:t>Příprava veřejných soutěží (dále též “VS”) v</w:t>
      </w:r>
      <w:r w:rsidR="00CE7C79">
        <w:t> </w:t>
      </w:r>
      <w:r w:rsidRPr="0068727A">
        <w:t>programu TREND probíhá převážně v</w:t>
      </w:r>
      <w:r w:rsidR="00CE7C79">
        <w:t> </w:t>
      </w:r>
      <w:r w:rsidRPr="0068727A">
        <w:t>rámci již zmiňovaného programového týmu. Kromě komunikační platformy bylo nutné upravit některé procesy a</w:t>
      </w:r>
      <w:r w:rsidR="00CE7C79">
        <w:t> </w:t>
      </w:r>
      <w:r w:rsidRPr="0068727A">
        <w:t xml:space="preserve">postupy </w:t>
      </w:r>
      <w:r w:rsidR="00EF71D6" w:rsidRPr="0068727A">
        <w:t xml:space="preserve">TA ČR </w:t>
      </w:r>
      <w:r w:rsidRPr="0068727A">
        <w:t>tak, aby byl program TREND realizovatelný dle podmínek MPO</w:t>
      </w:r>
      <w:r w:rsidR="0068727A">
        <w:t>.</w:t>
      </w:r>
    </w:p>
    <w:p w14:paraId="54403F66" w14:textId="1270F6B4" w:rsidR="0068727A" w:rsidRDefault="00B66F13" w:rsidP="00544EB6">
      <w:pPr>
        <w:spacing w:after="120"/>
        <w:jc w:val="both"/>
      </w:pPr>
      <w:r>
        <w:t>Př</w:t>
      </w:r>
      <w:r w:rsidR="007E7F04" w:rsidRPr="0068727A">
        <w:t>íprav</w:t>
      </w:r>
      <w:r>
        <w:t>u</w:t>
      </w:r>
      <w:r w:rsidR="007E7F04" w:rsidRPr="0068727A">
        <w:t xml:space="preserve"> veřejné soutěže </w:t>
      </w:r>
      <w:r>
        <w:t xml:space="preserve">musí jako poskytovatel zajistit </w:t>
      </w:r>
      <w:r w:rsidR="007E7F04" w:rsidRPr="0068727A">
        <w:t>TA ČR</w:t>
      </w:r>
      <w:r>
        <w:t xml:space="preserve"> s tím, že</w:t>
      </w:r>
      <w:r w:rsidR="007E7F04" w:rsidRPr="0068727A">
        <w:t xml:space="preserve"> musí předevší</w:t>
      </w:r>
      <w:r w:rsidR="0068727A">
        <w:t>m</w:t>
      </w:r>
    </w:p>
    <w:p w14:paraId="0AFBC4EE" w14:textId="69556110" w:rsidR="0068727A" w:rsidRDefault="0068727A" w:rsidP="00544EB6">
      <w:pPr>
        <w:pStyle w:val="Odstavecseseznamem"/>
        <w:numPr>
          <w:ilvl w:val="0"/>
          <w:numId w:val="34"/>
        </w:numPr>
        <w:spacing w:after="120"/>
        <w:jc w:val="both"/>
      </w:pPr>
      <w:r>
        <w:t>zpracovat předběžné parametry veřejné soutěže</w:t>
      </w:r>
      <w:r w:rsidR="00136D1C">
        <w:t xml:space="preserve">, konzultovat je s MPO a finální parametry </w:t>
      </w:r>
      <w:r>
        <w:t>zveřejnit na webových stránkách,</w:t>
      </w:r>
    </w:p>
    <w:p w14:paraId="77BE8F50" w14:textId="0788FB08" w:rsidR="0068727A" w:rsidRDefault="0068727A" w:rsidP="00544EB6">
      <w:pPr>
        <w:pStyle w:val="Odstavecseseznamem"/>
        <w:numPr>
          <w:ilvl w:val="0"/>
          <w:numId w:val="34"/>
        </w:numPr>
        <w:spacing w:after="120"/>
        <w:jc w:val="both"/>
      </w:pPr>
      <w:r>
        <w:t>zpracovat zadávací dokumentaci a</w:t>
      </w:r>
      <w:r w:rsidR="00CE7C79">
        <w:t> </w:t>
      </w:r>
      <w:r>
        <w:t>všechny dokumenty související s</w:t>
      </w:r>
      <w:r w:rsidR="00CE7C79">
        <w:t> </w:t>
      </w:r>
      <w:r>
        <w:t>vyhlášením veřejné soutěže</w:t>
      </w:r>
      <w:r w:rsidR="00136D1C">
        <w:t xml:space="preserve"> a zaslat ji MPO k připomínkám,</w:t>
      </w:r>
    </w:p>
    <w:p w14:paraId="648CDA62" w14:textId="1A3723BB" w:rsidR="0068727A" w:rsidRDefault="0068727A" w:rsidP="00544EB6">
      <w:pPr>
        <w:pStyle w:val="Odstavecseseznamem"/>
        <w:numPr>
          <w:ilvl w:val="0"/>
          <w:numId w:val="34"/>
        </w:numPr>
        <w:spacing w:after="120"/>
        <w:jc w:val="both"/>
      </w:pPr>
      <w:r>
        <w:t>sestavit přihlášku, nastavit hodnoticí proces, realizační rozhraní a</w:t>
      </w:r>
      <w:r w:rsidR="00CE7C79">
        <w:t> </w:t>
      </w:r>
      <w:r>
        <w:t>nápovědný systém v</w:t>
      </w:r>
      <w:r w:rsidR="00CE7C79">
        <w:t> </w:t>
      </w:r>
      <w:r>
        <w:t>ISTA,</w:t>
      </w:r>
    </w:p>
    <w:p w14:paraId="0AA2D837" w14:textId="6FFA2A36" w:rsidR="0068727A" w:rsidRDefault="0068727A" w:rsidP="00544EB6">
      <w:pPr>
        <w:pStyle w:val="Odstavecseseznamem"/>
        <w:numPr>
          <w:ilvl w:val="0"/>
          <w:numId w:val="34"/>
        </w:numPr>
        <w:spacing w:after="120"/>
        <w:jc w:val="both"/>
      </w:pPr>
      <w:r>
        <w:t>řádně vyhlásit VS a</w:t>
      </w:r>
      <w:r w:rsidR="00CE7C79">
        <w:t> </w:t>
      </w:r>
      <w:r>
        <w:t>zpřístupnit informační systém,</w:t>
      </w:r>
    </w:p>
    <w:p w14:paraId="244D7E10" w14:textId="276F3A17" w:rsidR="0068727A" w:rsidRDefault="0068727A" w:rsidP="00544EB6">
      <w:pPr>
        <w:pStyle w:val="Odstavecseseznamem"/>
        <w:numPr>
          <w:ilvl w:val="0"/>
          <w:numId w:val="34"/>
        </w:numPr>
        <w:spacing w:after="120"/>
        <w:jc w:val="both"/>
      </w:pPr>
      <w:r>
        <w:t xml:space="preserve">zajistit </w:t>
      </w:r>
      <w:r w:rsidR="00136D1C">
        <w:t xml:space="preserve">ve spolupráci s MPO </w:t>
      </w:r>
      <w:r>
        <w:t>informační seminář/webinář pro uchazeče, nastavit systém pro dotazy uchazečů HelpDesk,</w:t>
      </w:r>
    </w:p>
    <w:p w14:paraId="5536ED19" w14:textId="7ACE49C0" w:rsidR="0068727A" w:rsidRDefault="0068727A" w:rsidP="00544EB6">
      <w:pPr>
        <w:pStyle w:val="Odstavecseseznamem"/>
        <w:numPr>
          <w:ilvl w:val="0"/>
          <w:numId w:val="34"/>
        </w:numPr>
        <w:spacing w:after="120"/>
        <w:jc w:val="both"/>
      </w:pPr>
      <w:r>
        <w:t>komunikovat s</w:t>
      </w:r>
      <w:r w:rsidR="00CE7C79">
        <w:t> </w:t>
      </w:r>
      <w:r>
        <w:t>uchazeči.</w:t>
      </w:r>
    </w:p>
    <w:p w14:paraId="1A09EC5E" w14:textId="77777777" w:rsidR="007E7F04" w:rsidRPr="0068727A" w:rsidRDefault="007E7F04" w:rsidP="00544EB6">
      <w:pPr>
        <w:spacing w:after="120"/>
        <w:jc w:val="both"/>
        <w:rPr>
          <w:b/>
          <w:bCs/>
          <w:shd w:val="clear" w:color="auto" w:fill="93C47D"/>
        </w:rPr>
      </w:pPr>
      <w:r w:rsidRPr="0068727A">
        <w:rPr>
          <w:b/>
          <w:bCs/>
        </w:rPr>
        <w:t>Specifika programu TREND</w:t>
      </w:r>
    </w:p>
    <w:p w14:paraId="09BD98E3" w14:textId="1FC187ED" w:rsidR="007E7F04" w:rsidRDefault="007E7F04" w:rsidP="00544EB6">
      <w:pPr>
        <w:spacing w:after="120"/>
        <w:jc w:val="both"/>
        <w:rPr>
          <w:shd w:val="clear" w:color="auto" w:fill="93C47D"/>
        </w:rPr>
      </w:pPr>
      <w:r w:rsidRPr="0068727A">
        <w:t>Ačkoliv se</w:t>
      </w:r>
      <w:r w:rsidR="00043DBD">
        <w:t xml:space="preserve"> v zásadě</w:t>
      </w:r>
      <w:r w:rsidRPr="0068727A">
        <w:t xml:space="preserve"> jedná o</w:t>
      </w:r>
      <w:r w:rsidR="00CE7C79">
        <w:t> </w:t>
      </w:r>
      <w:r w:rsidRPr="0068727A">
        <w:t>běžnou agendu</w:t>
      </w:r>
      <w:r w:rsidR="00043DBD">
        <w:t xml:space="preserve"> TA ČR</w:t>
      </w:r>
      <w:r w:rsidRPr="0068727A">
        <w:t xml:space="preserve">, při realizaci programu TREND je třeba stále </w:t>
      </w:r>
      <w:r w:rsidR="00043DBD">
        <w:t xml:space="preserve">reflektovat některé </w:t>
      </w:r>
      <w:r w:rsidRPr="0068727A">
        <w:t>specifické požadavky MPO</w:t>
      </w:r>
      <w:r w:rsidR="00043DBD">
        <w:t xml:space="preserve"> (resp. specifické požadavky programu TREND jako takového)</w:t>
      </w:r>
      <w:r w:rsidRPr="0068727A">
        <w:t xml:space="preserve"> </w:t>
      </w:r>
      <w:r w:rsidR="00043DBD">
        <w:t>a fakt, že je MPO zodpovědné za nastavení a</w:t>
      </w:r>
      <w:r w:rsidR="00B66F13" w:rsidRPr="00B66F13">
        <w:t xml:space="preserve"> </w:t>
      </w:r>
      <w:r w:rsidR="00B66F13">
        <w:t>do jisté míry za</w:t>
      </w:r>
      <w:r w:rsidR="00043DBD">
        <w:t xml:space="preserve"> věcnou realizaci Programu. Znamená to, že </w:t>
      </w:r>
      <w:r w:rsidRPr="0068727A">
        <w:t xml:space="preserve">všechny dokumenty musí být připraveny dostatečně včas, aby je gestor </w:t>
      </w:r>
      <w:r w:rsidR="00043DBD">
        <w:t>P</w:t>
      </w:r>
      <w:r w:rsidRPr="0068727A">
        <w:t>rogramu měl možnost zkontrolovat a</w:t>
      </w:r>
      <w:r w:rsidR="00CE7C79">
        <w:t> </w:t>
      </w:r>
      <w:r w:rsidRPr="0068727A">
        <w:t>potvrdit jejich správnost. Jedn</w:t>
      </w:r>
      <w:r w:rsidR="00043DBD">
        <w:t xml:space="preserve">á </w:t>
      </w:r>
      <w:r w:rsidRPr="0068727A">
        <w:t>se především o</w:t>
      </w:r>
      <w:r w:rsidR="00CE7C79">
        <w:t> </w:t>
      </w:r>
      <w:r w:rsidRPr="0068727A">
        <w:t xml:space="preserve">specifické parametry zaměření </w:t>
      </w:r>
      <w:r w:rsidR="00F72B3A">
        <w:t>P</w:t>
      </w:r>
      <w:r w:rsidRPr="0068727A">
        <w:t>rogramu, úpravu hodnoticích kritérií a</w:t>
      </w:r>
      <w:r w:rsidR="00CE7C79">
        <w:t> </w:t>
      </w:r>
      <w:r w:rsidRPr="0068727A">
        <w:t>hodnoticího procesu, úpravu specifických podmínek smlouvy souvisejí</w:t>
      </w:r>
      <w:r w:rsidR="00E32953" w:rsidRPr="0068727A">
        <w:t>cích</w:t>
      </w:r>
      <w:r w:rsidRPr="0068727A">
        <w:t xml:space="preserve"> s</w:t>
      </w:r>
      <w:r w:rsidR="00CE7C79">
        <w:t> </w:t>
      </w:r>
      <w:r w:rsidRPr="0068727A">
        <w:t>realizací projektů apod. To vše musí být připraveno v</w:t>
      </w:r>
      <w:r w:rsidR="00CE7C79">
        <w:t> </w:t>
      </w:r>
      <w:r w:rsidRPr="0068727A">
        <w:t>dostatečném předstihu před vyhlášením veřejné soutěže.</w:t>
      </w:r>
    </w:p>
    <w:p w14:paraId="499EE710" w14:textId="6CC4AA0C" w:rsidR="007E7F04" w:rsidRDefault="007E7F04" w:rsidP="00544EB6">
      <w:pPr>
        <w:spacing w:after="120"/>
        <w:jc w:val="both"/>
        <w:rPr>
          <w:shd w:val="clear" w:color="auto" w:fill="93C47D"/>
        </w:rPr>
      </w:pPr>
      <w:r w:rsidRPr="0068727A">
        <w:t>Postup přípravy veřejné soutěže tak lze shrnout následovně. TA ČR připraví základní parametry, jejichž podobu projedná s</w:t>
      </w:r>
      <w:r w:rsidR="00CE7C79">
        <w:t> </w:t>
      </w:r>
      <w:r w:rsidRPr="0068727A">
        <w:t>MPO. Následně TA ČR připraví veškerou dokumentaci k</w:t>
      </w:r>
      <w:r w:rsidR="00CE7C79">
        <w:t> </w:t>
      </w:r>
      <w:r w:rsidRPr="0068727A">
        <w:t>vyhlášení veřejné soutěže, kterou zašle MPO k</w:t>
      </w:r>
      <w:r w:rsidR="00043DBD">
        <w:t xml:space="preserve"> případnému</w:t>
      </w:r>
      <w:r w:rsidR="00CE7C79">
        <w:t> </w:t>
      </w:r>
      <w:r w:rsidRPr="0068727A">
        <w:t>doplnění a</w:t>
      </w:r>
      <w:r w:rsidR="00CE7C79">
        <w:t> </w:t>
      </w:r>
      <w:r w:rsidRPr="0068727A">
        <w:t>akceptaci. MPO doplňuje, aktualizuje, upravuje především texty související se zaměřením veřejné soutěže, hodnoticí kritéria apod. TA ČR připomínky zapracuje, př</w:t>
      </w:r>
      <w:r w:rsidR="00E32953" w:rsidRPr="0068727A">
        <w:t>i</w:t>
      </w:r>
      <w:r w:rsidRPr="0068727A">
        <w:t>praví přihlášku pro podávání návrhů projektů, hodnoticí proces a</w:t>
      </w:r>
      <w:r w:rsidR="00CE7C79">
        <w:t> </w:t>
      </w:r>
      <w:r w:rsidRPr="0068727A">
        <w:t>realizační rozhraní v</w:t>
      </w:r>
      <w:r w:rsidR="00CE7C79">
        <w:t> </w:t>
      </w:r>
      <w:r w:rsidRPr="0068727A">
        <w:t>informačním systému ISTA a</w:t>
      </w:r>
      <w:r w:rsidR="00CE7C79">
        <w:t> </w:t>
      </w:r>
      <w:r w:rsidRPr="0068727A">
        <w:t>předloží zadávací dokumentaci a</w:t>
      </w:r>
      <w:r w:rsidR="00CE7C79">
        <w:t> </w:t>
      </w:r>
      <w:r w:rsidRPr="0068727A">
        <w:t>dokumenty související s</w:t>
      </w:r>
      <w:r w:rsidR="00CE7C79">
        <w:t> </w:t>
      </w:r>
      <w:r w:rsidRPr="0068727A">
        <w:t xml:space="preserve">vyhlášením VS předsednictvu TA ČR </w:t>
      </w:r>
      <w:r w:rsidR="00E32953" w:rsidRPr="0068727A">
        <w:t xml:space="preserve">(dále také jen „přTA“) </w:t>
      </w:r>
      <w:r w:rsidRPr="0068727A">
        <w:t>ke schválení. Jakmile přTA schválí všechny dokumenty, je v</w:t>
      </w:r>
      <w:r w:rsidR="00CE7C79">
        <w:t> </w:t>
      </w:r>
      <w:r w:rsidRPr="0068727A">
        <w:t>podstatě veřejná soutěž připravena k</w:t>
      </w:r>
      <w:r w:rsidR="00CE7C79">
        <w:t> </w:t>
      </w:r>
      <w:r w:rsidRPr="0068727A">
        <w:t>vyhlášení.</w:t>
      </w:r>
      <w:r>
        <w:rPr>
          <w:shd w:val="clear" w:color="auto" w:fill="93C47D"/>
        </w:rPr>
        <w:t xml:space="preserve"> </w:t>
      </w:r>
    </w:p>
    <w:p w14:paraId="7013218C" w14:textId="77777777" w:rsidR="007E7F04" w:rsidRPr="0068727A" w:rsidRDefault="007E7F04" w:rsidP="00544EB6">
      <w:pPr>
        <w:spacing w:after="120"/>
        <w:jc w:val="both"/>
        <w:rPr>
          <w:b/>
          <w:bCs/>
          <w:shd w:val="clear" w:color="auto" w:fill="93C47D"/>
        </w:rPr>
      </w:pPr>
      <w:r w:rsidRPr="0068727A">
        <w:rPr>
          <w:b/>
          <w:bCs/>
        </w:rPr>
        <w:t>Legislativní změny</w:t>
      </w:r>
    </w:p>
    <w:p w14:paraId="36EF1AB7" w14:textId="1C3DA130" w:rsidR="00DD3977" w:rsidRPr="00DD3977" w:rsidRDefault="007E7F04" w:rsidP="00544EB6">
      <w:pPr>
        <w:spacing w:after="120"/>
        <w:jc w:val="both"/>
        <w:rPr>
          <w:i/>
        </w:rPr>
      </w:pPr>
      <w:r w:rsidRPr="0068727A">
        <w:t>V průběhu realizace programu TREND došlo také k</w:t>
      </w:r>
      <w:r w:rsidR="00CE7C79">
        <w:t> </w:t>
      </w:r>
      <w:r w:rsidRPr="0068727A">
        <w:t>řadě legislativních úprav, nicméně, ty jsou plošné a</w:t>
      </w:r>
      <w:r w:rsidR="00CE7C79">
        <w:t> </w:t>
      </w:r>
      <w:r w:rsidRPr="0068727A">
        <w:t>TA ČR se s</w:t>
      </w:r>
      <w:r w:rsidR="00CE7C79">
        <w:t> </w:t>
      </w:r>
      <w:r w:rsidRPr="0068727A">
        <w:t>nimi musela vypořádat napříč všemi programy. Jedná se například o</w:t>
      </w:r>
      <w:r w:rsidR="00CE7C79">
        <w:t> </w:t>
      </w:r>
      <w:r w:rsidRPr="0068727A">
        <w:t>novelu zákona č. 130/2002 Sb., která transponuje směrnici EU o</w:t>
      </w:r>
      <w:r w:rsidR="00CE7C79">
        <w:t> </w:t>
      </w:r>
      <w:r w:rsidRPr="0068727A">
        <w:t>otevřených datech a</w:t>
      </w:r>
      <w:r w:rsidR="00CE7C79">
        <w:t> </w:t>
      </w:r>
      <w:r w:rsidRPr="0068727A">
        <w:t>opakovaném použití informací veřejného sektoru. Příjemci mají od 1. 9. 2022 povinnost zpracovávat Plán správy dat, ve kterém bude uveden způsob správy výzkumných dat a</w:t>
      </w:r>
      <w:r w:rsidR="00CE7C79">
        <w:t> </w:t>
      </w:r>
      <w:r w:rsidRPr="0068727A">
        <w:t>informace o</w:t>
      </w:r>
      <w:r w:rsidR="00CE7C79">
        <w:t> </w:t>
      </w:r>
      <w:r w:rsidRPr="0068727A">
        <w:t>dostupnosti a</w:t>
      </w:r>
      <w:r w:rsidR="00CE7C79">
        <w:t> </w:t>
      </w:r>
      <w:r w:rsidRPr="0068727A">
        <w:t>způsobu šíření výsledků výzkumu a</w:t>
      </w:r>
      <w:r w:rsidR="00CE7C79">
        <w:t> </w:t>
      </w:r>
      <w:r w:rsidRPr="0068727A">
        <w:t>výzkumných dat.</w:t>
      </w:r>
    </w:p>
    <w:p w14:paraId="232B1A3D" w14:textId="6703C45F" w:rsidR="009F26B4" w:rsidRDefault="009F26B4" w:rsidP="00AA3C29">
      <w:pPr>
        <w:pStyle w:val="Nadpis2"/>
      </w:pPr>
      <w:bookmarkStart w:id="13" w:name="_Toc185334555"/>
      <w:r>
        <w:t>Hodnot</w:t>
      </w:r>
      <w:r w:rsidR="00DF597A">
        <w:t>i</w:t>
      </w:r>
      <w:r>
        <w:t>cí proces</w:t>
      </w:r>
      <w:bookmarkEnd w:id="13"/>
    </w:p>
    <w:p w14:paraId="18A00E26" w14:textId="696CA0F1" w:rsidR="007E7F04" w:rsidRDefault="007E7F04" w:rsidP="007E7F04">
      <w:pPr>
        <w:spacing w:after="120"/>
        <w:jc w:val="both"/>
        <w:rPr>
          <w:shd w:val="clear" w:color="auto" w:fill="93C47D"/>
        </w:rPr>
      </w:pPr>
      <w:r w:rsidRPr="0068727A">
        <w:t xml:space="preserve">Po </w:t>
      </w:r>
      <w:r w:rsidR="002C6306" w:rsidRPr="0068727A">
        <w:t xml:space="preserve">skončení </w:t>
      </w:r>
      <w:r w:rsidRPr="0068727A">
        <w:t>soutěžní lhůty probíhá</w:t>
      </w:r>
      <w:r w:rsidR="00B66F13">
        <w:t xml:space="preserve"> formální</w:t>
      </w:r>
      <w:r w:rsidRPr="0068727A">
        <w:t xml:space="preserve"> kontrola splnění podmínek pro přijetí návrhů projektů do veřejné soutěže. Jedná se o</w:t>
      </w:r>
      <w:r w:rsidR="00CE7C79">
        <w:t> </w:t>
      </w:r>
      <w:r w:rsidRPr="0068727A">
        <w:t>kontrolu, zda projekt a</w:t>
      </w:r>
      <w:r w:rsidR="00CE7C79">
        <w:t> </w:t>
      </w:r>
      <w:r w:rsidRPr="0068727A">
        <w:t xml:space="preserve">uchazeči splňují formální náležitosti stanovené zadávací </w:t>
      </w:r>
      <w:r w:rsidRPr="0068727A">
        <w:lastRenderedPageBreak/>
        <w:t>dokumentací.</w:t>
      </w:r>
      <w:r w:rsidR="00043DBD">
        <w:t xml:space="preserve"> Tato fáze je ve výlučné kompetenci TA ČR, vyjma některých ad hoc konzultovaných specifických podmínek např. v podprogramu Nováčci.</w:t>
      </w:r>
    </w:p>
    <w:p w14:paraId="4F4B75BC" w14:textId="2F8043E7" w:rsidR="007E7F04" w:rsidRDefault="007E7F04" w:rsidP="007E7F04">
      <w:pPr>
        <w:spacing w:after="120"/>
        <w:jc w:val="both"/>
        <w:rPr>
          <w:shd w:val="clear" w:color="auto" w:fill="93C47D"/>
        </w:rPr>
      </w:pPr>
      <w:r w:rsidRPr="0068727A">
        <w:t>Následuje odborné hodnocení, které provádí odborní hodnotitelé. Zadávací dokumentace</w:t>
      </w:r>
      <w:r w:rsidR="00B66F13">
        <w:t>, resp. její příloha Hodnoticí proces</w:t>
      </w:r>
      <w:r w:rsidRPr="0068727A">
        <w:t xml:space="preserve"> obsahuje</w:t>
      </w:r>
      <w:r w:rsidR="00043DBD">
        <w:t xml:space="preserve"> postup</w:t>
      </w:r>
      <w:r w:rsidRPr="0068727A">
        <w:t xml:space="preserve">, jak probíhá odborné posouzení návrhů projektů. Jsou zde vždy uvedeny jednotlivé hodnoticí stupně (oponenti, zpravodajové, </w:t>
      </w:r>
      <w:r w:rsidR="00043DBD" w:rsidRPr="0068727A">
        <w:t xml:space="preserve">odborný poradní orgán </w:t>
      </w:r>
      <w:r w:rsidR="00043DBD">
        <w:t xml:space="preserve">/ </w:t>
      </w:r>
      <w:r w:rsidRPr="0068727A">
        <w:t>Rada programu a</w:t>
      </w:r>
      <w:r w:rsidR="00CE7C79">
        <w:t> </w:t>
      </w:r>
      <w:r w:rsidRPr="0068727A">
        <w:t>předsednictvo TA ČR) a</w:t>
      </w:r>
      <w:r w:rsidR="00CE7C79">
        <w:t> </w:t>
      </w:r>
      <w:r w:rsidRPr="0068727A">
        <w:t>jejich povinnosti a</w:t>
      </w:r>
      <w:r w:rsidR="00CE7C79">
        <w:t> </w:t>
      </w:r>
      <w:r w:rsidRPr="0068727A">
        <w:t xml:space="preserve">pravomoci (úprava bodového hodnocení, úprava finančního plánu </w:t>
      </w:r>
      <w:r w:rsidR="00043DBD">
        <w:t>apod.</w:t>
      </w:r>
      <w:r w:rsidRPr="0068727A">
        <w:t>). Dále je zde stanoven max</w:t>
      </w:r>
      <w:r w:rsidR="002C6306" w:rsidRPr="0068727A">
        <w:t>imální</w:t>
      </w:r>
      <w:r w:rsidRPr="0068727A">
        <w:t xml:space="preserve"> počet bodů, který může návrh projektu získat</w:t>
      </w:r>
      <w:r w:rsidR="00043DBD">
        <w:t>, a jednotlivá</w:t>
      </w:r>
      <w:r w:rsidRPr="0068727A">
        <w:t xml:space="preserve"> hodnoticí kritéria, tedy binární, bonifikační a</w:t>
      </w:r>
      <w:r w:rsidR="00CE7C79">
        <w:t> </w:t>
      </w:r>
      <w:r w:rsidRPr="0068727A">
        <w:t>bodovaná s</w:t>
      </w:r>
      <w:r w:rsidR="00CE7C79">
        <w:t> </w:t>
      </w:r>
      <w:r w:rsidRPr="0068727A">
        <w:t>případnou bodovou škálou a</w:t>
      </w:r>
      <w:r w:rsidR="00CE7C79">
        <w:t> </w:t>
      </w:r>
      <w:r w:rsidRPr="0068727A">
        <w:t>popisem náplně hodnocení. Binární a</w:t>
      </w:r>
      <w:r w:rsidR="00CE7C79">
        <w:t> </w:t>
      </w:r>
      <w:r w:rsidRPr="0068727A">
        <w:t xml:space="preserve">bodovaná kritéria posuzuje každý hodnoticí stupeň, </w:t>
      </w:r>
      <w:r w:rsidR="002C6306" w:rsidRPr="0068727A">
        <w:t xml:space="preserve">body za </w:t>
      </w:r>
      <w:r w:rsidRPr="0068727A">
        <w:t>bonifikační kritéria navrhuje zpravodaj a</w:t>
      </w:r>
      <w:r w:rsidR="00CE7C79">
        <w:t> </w:t>
      </w:r>
      <w:r w:rsidRPr="0068727A">
        <w:t>přiděluje odborný poradní orgán. Finální rozhodnutí o</w:t>
      </w:r>
      <w:r w:rsidR="00CE7C79">
        <w:t> </w:t>
      </w:r>
      <w:r w:rsidRPr="0068727A">
        <w:t>(ne)podpoření návrhů projektů činí předsednictvo TA ČR. U</w:t>
      </w:r>
      <w:r w:rsidR="00CE7C79">
        <w:t> </w:t>
      </w:r>
      <w:r w:rsidRPr="0068727A">
        <w:t xml:space="preserve">tohoto </w:t>
      </w:r>
      <w:r w:rsidR="00F72B3A">
        <w:t>P</w:t>
      </w:r>
      <w:r w:rsidRPr="0068727A">
        <w:t xml:space="preserve">rogramu jsou plánována </w:t>
      </w:r>
      <w:r w:rsidR="002C6306" w:rsidRPr="0068727A">
        <w:t>vždy dvě</w:t>
      </w:r>
      <w:r w:rsidRPr="0068727A">
        <w:t> jednání předsednictv</w:t>
      </w:r>
      <w:r w:rsidRPr="00B67A23">
        <w:t>a, mezi nimiž se k</w:t>
      </w:r>
      <w:r w:rsidR="00CE7C79" w:rsidRPr="00B67A23">
        <w:t> </w:t>
      </w:r>
      <w:r w:rsidRPr="00B67A23">
        <w:t>finálním výsledkům vyjadřují zástupci MPO, předseda a</w:t>
      </w:r>
      <w:r w:rsidR="00CE7C79" w:rsidRPr="00B67A23">
        <w:t> </w:t>
      </w:r>
      <w:r w:rsidRPr="00B67A23">
        <w:t xml:space="preserve">místopředseda </w:t>
      </w:r>
      <w:r w:rsidR="00BA2423">
        <w:t>odborného poradního orgánu</w:t>
      </w:r>
      <w:r w:rsidR="0068727A" w:rsidRPr="00B67A23">
        <w:t>.</w:t>
      </w:r>
    </w:p>
    <w:p w14:paraId="3B769505" w14:textId="60CF73BE" w:rsidR="00F01337" w:rsidRPr="00F01337" w:rsidRDefault="00F01337" w:rsidP="009F26B4">
      <w:pPr>
        <w:spacing w:after="120"/>
        <w:jc w:val="both"/>
        <w:rPr>
          <w:b/>
          <w:u w:val="single"/>
        </w:rPr>
      </w:pPr>
      <w:r w:rsidRPr="00F01337">
        <w:rPr>
          <w:b/>
          <w:u w:val="single"/>
        </w:rPr>
        <w:t>Formální kontrola</w:t>
      </w:r>
    </w:p>
    <w:p w14:paraId="185FBCE9" w14:textId="64F61CBF" w:rsidR="007E7F04" w:rsidRDefault="007E7F04" w:rsidP="007E7F04">
      <w:pPr>
        <w:spacing w:after="120"/>
        <w:jc w:val="both"/>
        <w:rPr>
          <w:shd w:val="clear" w:color="auto" w:fill="93C47D"/>
        </w:rPr>
      </w:pPr>
      <w:r w:rsidRPr="007110AB">
        <w:t>Splnění podmínek pro přijetí návrhů projektů do veřejné soutěže kontroluje vždy Komise pro přijímání návrhů projektů dle TA ČR směrnice SME-06. Hodnoceno je prokázání způsobilosti uchazečů prostřednictvím Čestného prohlášení za uchazeče, zveřejnění účetních závěrek u</w:t>
      </w:r>
      <w:r w:rsidR="00CE7C79">
        <w:t> </w:t>
      </w:r>
      <w:r w:rsidRPr="007110AB">
        <w:t>uchazečů, kteří mají tuto povinnost stanovenou zákonem o</w:t>
      </w:r>
      <w:r w:rsidR="00CE7C79">
        <w:t> </w:t>
      </w:r>
      <w:r w:rsidRPr="007110AB">
        <w:t>účetnictví</w:t>
      </w:r>
      <w:r w:rsidR="00517BAE" w:rsidRPr="007110AB">
        <w:t xml:space="preserve">; </w:t>
      </w:r>
      <w:r w:rsidRPr="007110AB">
        <w:t>probíhá hodnocení</w:t>
      </w:r>
      <w:r w:rsidR="00517BAE" w:rsidRPr="007110AB">
        <w:t>, zda nejde o</w:t>
      </w:r>
      <w:r w:rsidR="00CE7C79">
        <w:t> </w:t>
      </w:r>
      <w:r w:rsidR="00517BAE" w:rsidRPr="007110AB">
        <w:t>tzv.</w:t>
      </w:r>
      <w:r w:rsidRPr="007110AB">
        <w:t xml:space="preserve"> podnik v</w:t>
      </w:r>
      <w:r w:rsidR="00CE7C79">
        <w:t> </w:t>
      </w:r>
      <w:r w:rsidRPr="007110AB">
        <w:t>obtížích, kontrola insolvenčního rejstříku a</w:t>
      </w:r>
      <w:r w:rsidR="00CE7C79">
        <w:t> </w:t>
      </w:r>
      <w:r w:rsidRPr="007110AB">
        <w:t>rejstříku právnických osob. Od 6. VS se u</w:t>
      </w:r>
      <w:r w:rsidR="00CE7C79">
        <w:t> </w:t>
      </w:r>
      <w:r w:rsidRPr="007110AB">
        <w:t>uchazečů, kteří mají tuto povinnost stanovenou zákonem o</w:t>
      </w:r>
      <w:r w:rsidR="00CE7C79">
        <w:t> </w:t>
      </w:r>
      <w:r w:rsidRPr="007110AB">
        <w:t>evidenci skutečných majitelů, kontroluje, zda jsou v</w:t>
      </w:r>
      <w:r w:rsidR="00CE7C79">
        <w:t> </w:t>
      </w:r>
      <w:r w:rsidRPr="007110AB">
        <w:t>této evidenci zapsaní.</w:t>
      </w:r>
      <w:r>
        <w:rPr>
          <w:shd w:val="clear" w:color="auto" w:fill="93C47D"/>
        </w:rPr>
        <w:t xml:space="preserve">  </w:t>
      </w:r>
    </w:p>
    <w:p w14:paraId="2BDF0805" w14:textId="22735FA8" w:rsidR="007E7F04" w:rsidRDefault="007E7F04" w:rsidP="007E7F04">
      <w:pPr>
        <w:spacing w:after="120"/>
        <w:jc w:val="both"/>
        <w:rPr>
          <w:shd w:val="clear" w:color="auto" w:fill="93C47D"/>
        </w:rPr>
      </w:pPr>
      <w:r w:rsidRPr="007110AB">
        <w:t>Dále jsou kontrolovány náležitosti návrhů projektů, které se liší s</w:t>
      </w:r>
      <w:r w:rsidR="00CE7C79">
        <w:t> </w:t>
      </w:r>
      <w:r w:rsidRPr="007110AB">
        <w:t>ohledem na podprogram</w:t>
      </w:r>
      <w:r w:rsidR="00B929ED">
        <w:t xml:space="preserve"> Programu</w:t>
      </w:r>
      <w:r w:rsidRPr="007110AB">
        <w:t>. U</w:t>
      </w:r>
      <w:r w:rsidR="00CE7C79">
        <w:t> </w:t>
      </w:r>
      <w:r w:rsidRPr="007110AB">
        <w:t>všech veřejných soutěží v</w:t>
      </w:r>
      <w:r w:rsidR="00CE7C79">
        <w:t> </w:t>
      </w:r>
      <w:r w:rsidRPr="007110AB">
        <w:t>obou podprogramech jsou kontrolovány formální náležitosti povinných příloh, doručení potvrzení podání el</w:t>
      </w:r>
      <w:r w:rsidR="0085349D" w:rsidRPr="007110AB">
        <w:t>ektronického</w:t>
      </w:r>
      <w:r w:rsidRPr="007110AB">
        <w:t xml:space="preserve"> návrhu projektu z</w:t>
      </w:r>
      <w:r w:rsidR="00CE7C79">
        <w:t> </w:t>
      </w:r>
      <w:r w:rsidRPr="007110AB">
        <w:t>datové schránky hlavního uchazeče, počet podaných návrhů projektů hlavním uchazečem a</w:t>
      </w:r>
      <w:r w:rsidR="00CE7C79">
        <w:t> </w:t>
      </w:r>
      <w:r w:rsidRPr="007110AB">
        <w:t>dále to, že hlavním uchazečem je podnik.</w:t>
      </w:r>
      <w:r>
        <w:rPr>
          <w:shd w:val="clear" w:color="auto" w:fill="93C47D"/>
        </w:rPr>
        <w:t xml:space="preserve"> </w:t>
      </w:r>
    </w:p>
    <w:p w14:paraId="10567DD0" w14:textId="30B4C91B" w:rsidR="007110AB" w:rsidRDefault="007E7F04" w:rsidP="007E7F04">
      <w:pPr>
        <w:spacing w:after="120"/>
        <w:jc w:val="both"/>
      </w:pPr>
      <w:r w:rsidRPr="007110AB">
        <w:t>U podprogramu 1 se u</w:t>
      </w:r>
      <w:r w:rsidR="00CE7C79">
        <w:t> </w:t>
      </w:r>
      <w:r w:rsidRPr="007110AB">
        <w:t xml:space="preserve">hlavního uchazeče nad </w:t>
      </w:r>
      <w:r w:rsidR="0085349D" w:rsidRPr="007110AB">
        <w:t xml:space="preserve">to </w:t>
      </w:r>
      <w:r w:rsidRPr="007110AB">
        <w:t>kontroluje, že má dvouletou účetní historii, tzn. má dvě zveřejněné účetní závěrky v</w:t>
      </w:r>
      <w:r w:rsidR="00CE7C79">
        <w:t> </w:t>
      </w:r>
      <w:r w:rsidRPr="007110AB">
        <w:t>době podání návrhu projekt</w:t>
      </w:r>
      <w:r w:rsidR="007110AB">
        <w:t>u.</w:t>
      </w:r>
    </w:p>
    <w:p w14:paraId="02934C98" w14:textId="08B15BD4" w:rsidR="007E7F04" w:rsidRDefault="007E7F04" w:rsidP="007E7F04">
      <w:pPr>
        <w:spacing w:after="120"/>
        <w:jc w:val="both"/>
        <w:rPr>
          <w:shd w:val="clear" w:color="auto" w:fill="93C47D"/>
        </w:rPr>
      </w:pPr>
      <w:r w:rsidRPr="007110AB">
        <w:t>U podprogramu 2 je kontrolována specifická podmínka pro hlavního uchazeče, že nečerpal podporu na VaV nad 1 mil. Kč v</w:t>
      </w:r>
      <w:r w:rsidR="00CE7C79">
        <w:t> </w:t>
      </w:r>
      <w:r w:rsidRPr="007110AB">
        <w:t xml:space="preserve">posledních </w:t>
      </w:r>
      <w:r w:rsidR="00C0240D" w:rsidRPr="007110AB">
        <w:t>pě</w:t>
      </w:r>
      <w:r w:rsidRPr="007110AB">
        <w:t>ti letech a</w:t>
      </w:r>
      <w:r w:rsidR="00CE7C79">
        <w:t> </w:t>
      </w:r>
      <w:r w:rsidRPr="007110AB">
        <w:t>dále to, že v</w:t>
      </w:r>
      <w:r w:rsidR="00CE7C79">
        <w:t> </w:t>
      </w:r>
      <w:r w:rsidRPr="007110AB">
        <w:t>každém návrhu projektu je min</w:t>
      </w:r>
      <w:r w:rsidR="00F401A4" w:rsidRPr="007110AB">
        <w:t>imálně jedním dalším účastníkem</w:t>
      </w:r>
      <w:r w:rsidRPr="007110AB">
        <w:t xml:space="preserve"> výzkumná organizace, která se podílí na řešení minimálně 10 % celkových nákladů na projekt.</w:t>
      </w:r>
      <w:r>
        <w:rPr>
          <w:shd w:val="clear" w:color="auto" w:fill="93C47D"/>
        </w:rPr>
        <w:t xml:space="preserve">  </w:t>
      </w:r>
    </w:p>
    <w:p w14:paraId="67EE071B" w14:textId="3C27E2B7" w:rsidR="007E7F04" w:rsidRDefault="007E7F04" w:rsidP="007E7F04">
      <w:pPr>
        <w:spacing w:after="120"/>
        <w:jc w:val="both"/>
        <w:rPr>
          <w:shd w:val="clear" w:color="auto" w:fill="93C47D"/>
        </w:rPr>
      </w:pPr>
      <w:r w:rsidRPr="007110AB">
        <w:t>Necelých 6 procent podaných návrhů projektů není následně přijat</w:t>
      </w:r>
      <w:r w:rsidR="00F401A4" w:rsidRPr="007110AB">
        <w:t>o</w:t>
      </w:r>
      <w:r w:rsidRPr="007110AB">
        <w:t xml:space="preserve"> do veřejné soutěže. Mírně vyšší hodnoty jsou pak spíše v</w:t>
      </w:r>
      <w:r w:rsidR="00CE7C79">
        <w:t> </w:t>
      </w:r>
      <w:r w:rsidRPr="007110AB">
        <w:t>podprogramu 2 “Nováčci”. Hlavními důvody nepřijetí návrhů projektů do veřejných soutěží jsou především:</w:t>
      </w:r>
    </w:p>
    <w:p w14:paraId="3193973D" w14:textId="3B99FA5F" w:rsidR="007E7F04" w:rsidRDefault="00F401A4" w:rsidP="00043DBD">
      <w:pPr>
        <w:numPr>
          <w:ilvl w:val="0"/>
          <w:numId w:val="41"/>
        </w:numPr>
        <w:spacing w:after="0"/>
        <w:jc w:val="both"/>
        <w:rPr>
          <w:shd w:val="clear" w:color="auto" w:fill="93C47D"/>
        </w:rPr>
      </w:pPr>
      <w:r w:rsidRPr="007110AB">
        <w:t>nezpůsobilost uchazečů (především vyhodnocení uchazeče jako „podniku v</w:t>
      </w:r>
      <w:r w:rsidR="00CE7C79">
        <w:t> </w:t>
      </w:r>
      <w:r w:rsidRPr="007110AB">
        <w:t>obtížích“);</w:t>
      </w:r>
      <w:r w:rsidR="007E7F04">
        <w:rPr>
          <w:shd w:val="clear" w:color="auto" w:fill="93C47D"/>
        </w:rPr>
        <w:t xml:space="preserve"> </w:t>
      </w:r>
    </w:p>
    <w:p w14:paraId="061DD661" w14:textId="77777777" w:rsidR="007E7F04" w:rsidRDefault="007E7F04" w:rsidP="00043DBD">
      <w:pPr>
        <w:numPr>
          <w:ilvl w:val="0"/>
          <w:numId w:val="41"/>
        </w:numPr>
        <w:spacing w:after="120"/>
        <w:jc w:val="both"/>
        <w:rPr>
          <w:shd w:val="clear" w:color="auto" w:fill="93C47D"/>
        </w:rPr>
      </w:pPr>
      <w:r w:rsidRPr="007110AB">
        <w:t>nesprávně vyplněné či nevložené povinné přílohy návrhu projektu.</w:t>
      </w:r>
      <w:r>
        <w:rPr>
          <w:shd w:val="clear" w:color="auto" w:fill="93C47D"/>
        </w:rPr>
        <w:t xml:space="preserve"> </w:t>
      </w:r>
    </w:p>
    <w:p w14:paraId="5A84167E" w14:textId="11CEDD5D" w:rsidR="007E7F04" w:rsidRDefault="007E7F04" w:rsidP="007E7F04">
      <w:pPr>
        <w:spacing w:after="120"/>
        <w:jc w:val="both"/>
      </w:pPr>
      <w:r w:rsidRPr="007110AB">
        <w:t>V jednotkách případů došlo k</w:t>
      </w:r>
      <w:r w:rsidR="00CE7C79">
        <w:t> </w:t>
      </w:r>
      <w:r w:rsidRPr="007110AB">
        <w:t>tomu, že uchazeč nebyl zapsán do konce soutěžní lhůty v</w:t>
      </w:r>
      <w:r w:rsidR="00CE7C79">
        <w:t> </w:t>
      </w:r>
      <w:r w:rsidRPr="007110AB">
        <w:t>evidenci skutečných majitelů nebo nebylo zasláno potvrzení podání elektronického návrhu projektu datovou schránkou. U</w:t>
      </w:r>
      <w:r w:rsidR="00CE7C79">
        <w:t> </w:t>
      </w:r>
      <w:r w:rsidRPr="007110AB">
        <w:t xml:space="preserve">podprogramu 1 </w:t>
      </w:r>
      <w:r w:rsidR="00EE1514" w:rsidRPr="007110AB">
        <w:t>se vyskytly i</w:t>
      </w:r>
      <w:r w:rsidR="00CE7C79">
        <w:t> </w:t>
      </w:r>
      <w:r w:rsidRPr="007110AB">
        <w:t>případy, kdy nebyla splněna dvouletá účetní historie hlavním uchazečem. V</w:t>
      </w:r>
      <w:r w:rsidR="00CE7C79">
        <w:t> </w:t>
      </w:r>
      <w:r w:rsidRPr="007110AB">
        <w:t>podprogramu 2 nebyla splněna specifická podmínka nečerpání podpory na VaV nad 1 mil. Kč.</w:t>
      </w:r>
    </w:p>
    <w:p w14:paraId="2AB4C54A" w14:textId="53AC4278" w:rsidR="007E7F04" w:rsidRDefault="007E7F04" w:rsidP="00614BA8">
      <w:pPr>
        <w:keepNext/>
        <w:spacing w:after="120"/>
        <w:jc w:val="both"/>
        <w:rPr>
          <w:b/>
          <w:u w:val="single"/>
        </w:rPr>
      </w:pPr>
      <w:r>
        <w:rPr>
          <w:b/>
          <w:u w:val="single"/>
        </w:rPr>
        <w:lastRenderedPageBreak/>
        <w:t>Hodnocení návrhů projektů oponenty a</w:t>
      </w:r>
      <w:r w:rsidR="00CE7C79">
        <w:rPr>
          <w:b/>
          <w:u w:val="single"/>
        </w:rPr>
        <w:t> </w:t>
      </w:r>
      <w:r>
        <w:rPr>
          <w:b/>
          <w:u w:val="single"/>
        </w:rPr>
        <w:t>zpravodajem</w:t>
      </w:r>
    </w:p>
    <w:p w14:paraId="74017654" w14:textId="294F9FD0" w:rsidR="007E7F04" w:rsidRDefault="007E7F04" w:rsidP="007E7F04">
      <w:pPr>
        <w:spacing w:after="120"/>
        <w:jc w:val="both"/>
        <w:rPr>
          <w:shd w:val="clear" w:color="auto" w:fill="93C47D"/>
        </w:rPr>
      </w:pPr>
      <w:r>
        <w:t>Hodnocení návrhů projektů přijatých do veřejné soutěže je realizováno zhotovením oponentních posudků, zpracováním souhrnné hodnoticí zprávy zpravodajem projekt</w:t>
      </w:r>
      <w:r w:rsidRPr="007110AB">
        <w:t>u, vyhodnocením všech návrhů projektů odborným poradním orgánem – Radou programu TREND a</w:t>
      </w:r>
      <w:r w:rsidR="00CE7C79">
        <w:t> </w:t>
      </w:r>
      <w:r w:rsidRPr="007110AB">
        <w:t>závěrečným rozhodnutím předsednictva TA ČR.</w:t>
      </w:r>
    </w:p>
    <w:p w14:paraId="77257B89" w14:textId="66B9BF18" w:rsidR="007E7F04" w:rsidRDefault="007E7F04" w:rsidP="007E7F04">
      <w:pPr>
        <w:spacing w:after="120"/>
        <w:jc w:val="both"/>
        <w:rPr>
          <w:shd w:val="clear" w:color="auto" w:fill="93C47D"/>
        </w:rPr>
      </w:pPr>
      <w:r>
        <w:t>Pro každý hodnocený projekt byly zpracovány tři oponentní posudky, které se vyjadřovaly k</w:t>
      </w:r>
      <w:r w:rsidR="00CE7C79">
        <w:t> </w:t>
      </w:r>
      <w:r>
        <w:t>naplnění binárních kritérií, a</w:t>
      </w:r>
      <w:r w:rsidR="00CE7C79">
        <w:t> </w:t>
      </w:r>
      <w:r>
        <w:t>dále okomentovaly způsob a</w:t>
      </w:r>
      <w:r w:rsidR="00CE7C79">
        <w:t> </w:t>
      </w:r>
      <w:r>
        <w:t>míru naplnění jednotlivých bodovaných</w:t>
      </w:r>
      <w:r w:rsidR="00BA2423">
        <w:t>,</w:t>
      </w:r>
      <w:r>
        <w:t xml:space="preserve"> případně bonifikačních kritérií a</w:t>
      </w:r>
      <w:r w:rsidR="00CE7C79">
        <w:t> </w:t>
      </w:r>
      <w:r>
        <w:t>přiřadily příslušný počet bodů.</w:t>
      </w:r>
      <w:r w:rsidRPr="007110AB">
        <w:t xml:space="preserve"> Oponenti byli přiřazováni v</w:t>
      </w:r>
      <w:r w:rsidR="00CE7C79">
        <w:t> </w:t>
      </w:r>
      <w:r w:rsidRPr="007110AB">
        <w:t>systému ISTA na základě shody odborností CEP a</w:t>
      </w:r>
      <w:r w:rsidR="00CE7C79">
        <w:t> </w:t>
      </w:r>
      <w:r w:rsidRPr="007110AB">
        <w:t>TAČR odborností. Na základě údajů v</w:t>
      </w:r>
      <w:r w:rsidR="00CE7C79">
        <w:t> </w:t>
      </w:r>
      <w:r w:rsidRPr="007110AB">
        <w:t xml:space="preserve">systému ISTA </w:t>
      </w:r>
      <w:r w:rsidR="00F0241A" w:rsidRPr="007110AB">
        <w:t>jsou hodnotitelé vybíráni</w:t>
      </w:r>
      <w:r w:rsidRPr="007110AB">
        <w:t xml:space="preserve"> dle předchozích zkušeností a</w:t>
      </w:r>
      <w:r w:rsidR="00CE7C79">
        <w:t> </w:t>
      </w:r>
      <w:r w:rsidRPr="007110AB">
        <w:t>hodnocení od zpravodajů.</w:t>
      </w:r>
      <w:r>
        <w:rPr>
          <w:shd w:val="clear" w:color="auto" w:fill="93C47D"/>
        </w:rPr>
        <w:t xml:space="preserve"> </w:t>
      </w:r>
    </w:p>
    <w:p w14:paraId="33E6F83F" w14:textId="4EC7250C" w:rsidR="00B929ED" w:rsidRDefault="00F0241A" w:rsidP="007E7F04">
      <w:pPr>
        <w:spacing w:after="120"/>
        <w:jc w:val="both"/>
      </w:pPr>
      <w:r w:rsidRPr="007110AB">
        <w:t>Specificky bylo jako doplnění oponentních posudků</w:t>
      </w:r>
      <w:r w:rsidR="00B929ED">
        <w:t xml:space="preserve"> zpracováváno hodnocení </w:t>
      </w:r>
      <w:r w:rsidR="00B929ED" w:rsidRPr="007110AB">
        <w:t>odborným hodnotitelem</w:t>
      </w:r>
      <w:r w:rsidR="00B929ED">
        <w:t xml:space="preserve"> ve dvou případech:</w:t>
      </w:r>
    </w:p>
    <w:p w14:paraId="6D9C64BF" w14:textId="6FF539EC" w:rsidR="00B929ED" w:rsidRPr="00B929ED" w:rsidRDefault="00B929ED" w:rsidP="00B929ED">
      <w:pPr>
        <w:pStyle w:val="Odstavecseseznamem"/>
        <w:numPr>
          <w:ilvl w:val="0"/>
          <w:numId w:val="42"/>
        </w:numPr>
        <w:spacing w:after="120"/>
        <w:jc w:val="both"/>
        <w:rPr>
          <w:shd w:val="clear" w:color="auto" w:fill="93C47D"/>
        </w:rPr>
      </w:pPr>
      <w:r>
        <w:t>v</w:t>
      </w:r>
      <w:r w:rsidR="007E7F04" w:rsidRPr="007110AB">
        <w:t xml:space="preserve"> 7., 8. a</w:t>
      </w:r>
      <w:r w:rsidR="00CE7C79">
        <w:t> </w:t>
      </w:r>
      <w:r w:rsidR="007E7F04" w:rsidRPr="007110AB">
        <w:t xml:space="preserve">10. VS hodnocení </w:t>
      </w:r>
      <w:r>
        <w:t xml:space="preserve">splnění principu </w:t>
      </w:r>
      <w:r w:rsidR="007E7F04" w:rsidRPr="007110AB">
        <w:t>DNSH</w:t>
      </w:r>
    </w:p>
    <w:p w14:paraId="74011CE5" w14:textId="4A22128D" w:rsidR="007E7F04" w:rsidRPr="00B929ED" w:rsidRDefault="00CE7C79" w:rsidP="00B929ED">
      <w:pPr>
        <w:pStyle w:val="Odstavecseseznamem"/>
        <w:numPr>
          <w:ilvl w:val="0"/>
          <w:numId w:val="42"/>
        </w:numPr>
        <w:spacing w:after="120"/>
        <w:jc w:val="both"/>
        <w:rPr>
          <w:shd w:val="clear" w:color="auto" w:fill="93C47D"/>
        </w:rPr>
      </w:pPr>
      <w:r>
        <w:t> </w:t>
      </w:r>
      <w:r w:rsidR="00B929ED">
        <w:t xml:space="preserve">v </w:t>
      </w:r>
      <w:r w:rsidR="007E7F04" w:rsidRPr="007110AB">
        <w:t>3. VS a</w:t>
      </w:r>
      <w:r>
        <w:t> </w:t>
      </w:r>
      <w:r w:rsidR="007E7F04" w:rsidRPr="007110AB">
        <w:t xml:space="preserve">4. VS </w:t>
      </w:r>
      <w:r w:rsidR="00B929ED">
        <w:t>p</w:t>
      </w:r>
      <w:r w:rsidR="007E7F04" w:rsidRPr="007110AB">
        <w:t xml:space="preserve">osouzení </w:t>
      </w:r>
      <w:r w:rsidR="00B929ED">
        <w:t>naplnění b</w:t>
      </w:r>
      <w:r w:rsidR="007E7F04" w:rsidRPr="007110AB">
        <w:t>onifikace za využití technologie sítí elektronických komunikací 5.</w:t>
      </w:r>
      <w:r w:rsidR="00B929ED">
        <w:t> </w:t>
      </w:r>
      <w:r w:rsidR="007E7F04" w:rsidRPr="007110AB">
        <w:t>a</w:t>
      </w:r>
      <w:r>
        <w:t> </w:t>
      </w:r>
      <w:r w:rsidR="007E7F04" w:rsidRPr="007110AB">
        <w:t>vyšší generace).</w:t>
      </w:r>
      <w:r w:rsidR="007E7F04" w:rsidRPr="00B929ED">
        <w:rPr>
          <w:shd w:val="clear" w:color="auto" w:fill="93C47D"/>
        </w:rPr>
        <w:t xml:space="preserve"> </w:t>
      </w:r>
    </w:p>
    <w:p w14:paraId="0AAC9664" w14:textId="2DBBFEC4" w:rsidR="007110AB" w:rsidRDefault="007E7F04" w:rsidP="007E7F04">
      <w:pPr>
        <w:spacing w:after="120"/>
        <w:jc w:val="both"/>
        <w:rPr>
          <w:color w:val="1F1F1F"/>
        </w:rPr>
      </w:pPr>
      <w:r w:rsidRPr="007110AB">
        <w:rPr>
          <w:color w:val="1F1F1F"/>
        </w:rPr>
        <w:t xml:space="preserve">Oponentské posudky vypracovávají odborníci, </w:t>
      </w:r>
      <w:r w:rsidR="00F0241A" w:rsidRPr="007110AB">
        <w:rPr>
          <w:color w:val="1F1F1F"/>
        </w:rPr>
        <w:t xml:space="preserve">registrovaní </w:t>
      </w:r>
      <w:r w:rsidRPr="007110AB">
        <w:rPr>
          <w:color w:val="1F1F1F"/>
        </w:rPr>
        <w:t>v</w:t>
      </w:r>
      <w:r w:rsidR="00CE7C79">
        <w:rPr>
          <w:color w:val="1F1F1F"/>
        </w:rPr>
        <w:t> </w:t>
      </w:r>
      <w:r w:rsidRPr="007110AB">
        <w:rPr>
          <w:color w:val="1F1F1F"/>
        </w:rPr>
        <w:t>systému ISTA. Tyto odborníky vybírá</w:t>
      </w:r>
      <w:r w:rsidR="00F0241A" w:rsidRPr="007110AB">
        <w:rPr>
          <w:color w:val="1F1F1F"/>
        </w:rPr>
        <w:t xml:space="preserve"> TA ČR</w:t>
      </w:r>
      <w:r w:rsidRPr="007110AB">
        <w:rPr>
          <w:color w:val="1F1F1F"/>
        </w:rPr>
        <w:t xml:space="preserve"> dle jejich odborností a</w:t>
      </w:r>
      <w:r w:rsidR="00CE7C79">
        <w:rPr>
          <w:color w:val="1F1F1F"/>
        </w:rPr>
        <w:t> </w:t>
      </w:r>
      <w:r w:rsidRPr="007110AB">
        <w:rPr>
          <w:color w:val="1F1F1F"/>
        </w:rPr>
        <w:t>zkušeností s</w:t>
      </w:r>
      <w:r w:rsidR="00CE7C79">
        <w:rPr>
          <w:color w:val="1F1F1F"/>
        </w:rPr>
        <w:t> </w:t>
      </w:r>
      <w:r w:rsidRPr="007110AB">
        <w:rPr>
          <w:color w:val="1F1F1F"/>
        </w:rPr>
        <w:t>hodnocením napříč všemi programy. Hodnocení oponentů nejdříve formálně kontroluje oddělení rozvoje lidského potenciálu a</w:t>
      </w:r>
      <w:r w:rsidR="00CE7C79">
        <w:rPr>
          <w:color w:val="1F1F1F"/>
        </w:rPr>
        <w:t> </w:t>
      </w:r>
      <w:r w:rsidRPr="007110AB">
        <w:rPr>
          <w:color w:val="1F1F1F"/>
        </w:rPr>
        <w:t>vrací je k</w:t>
      </w:r>
      <w:r w:rsidR="00CE7C79">
        <w:rPr>
          <w:color w:val="1F1F1F"/>
        </w:rPr>
        <w:t> </w:t>
      </w:r>
      <w:r w:rsidRPr="007110AB">
        <w:rPr>
          <w:color w:val="1F1F1F"/>
        </w:rPr>
        <w:t>případné úpravě</w:t>
      </w:r>
      <w:r w:rsidR="00B929ED">
        <w:rPr>
          <w:color w:val="1F1F1F"/>
        </w:rPr>
        <w:t>:</w:t>
      </w:r>
    </w:p>
    <w:p w14:paraId="7E8DF6F1" w14:textId="6BEACB2B" w:rsidR="007110AB" w:rsidRPr="007110AB" w:rsidRDefault="007110AB" w:rsidP="007110AB">
      <w:pPr>
        <w:pStyle w:val="Odstavecseseznamem"/>
        <w:numPr>
          <w:ilvl w:val="0"/>
          <w:numId w:val="36"/>
        </w:numPr>
        <w:spacing w:after="120"/>
        <w:jc w:val="both"/>
        <w:rPr>
          <w:color w:val="1F1F1F"/>
        </w:rPr>
      </w:pPr>
      <w:r w:rsidRPr="007110AB">
        <w:rPr>
          <w:color w:val="1F1F1F"/>
        </w:rPr>
        <w:t>v 1. VS bylo zkontrolováno 1</w:t>
      </w:r>
      <w:r w:rsidR="008B4562">
        <w:rPr>
          <w:color w:val="1F1F1F"/>
        </w:rPr>
        <w:t xml:space="preserve"> </w:t>
      </w:r>
      <w:r w:rsidRPr="007110AB">
        <w:rPr>
          <w:color w:val="1F1F1F"/>
        </w:rPr>
        <w:t>152 posudků a</w:t>
      </w:r>
      <w:r w:rsidR="00CE7C79">
        <w:rPr>
          <w:color w:val="1F1F1F"/>
        </w:rPr>
        <w:t> </w:t>
      </w:r>
      <w:r w:rsidRPr="007110AB">
        <w:rPr>
          <w:color w:val="1F1F1F"/>
        </w:rPr>
        <w:t>bylo požádáno o</w:t>
      </w:r>
      <w:r w:rsidR="00CE7C79">
        <w:rPr>
          <w:color w:val="1F1F1F"/>
        </w:rPr>
        <w:t> </w:t>
      </w:r>
      <w:r w:rsidRPr="007110AB">
        <w:rPr>
          <w:color w:val="1F1F1F"/>
        </w:rPr>
        <w:t>opravu 152 posudků</w:t>
      </w:r>
      <w:r w:rsidR="00BA2423">
        <w:rPr>
          <w:color w:val="1F1F1F"/>
        </w:rPr>
        <w:t>,</w:t>
      </w:r>
    </w:p>
    <w:p w14:paraId="2747710A" w14:textId="5AED6F66" w:rsidR="007110AB" w:rsidRPr="007110AB" w:rsidRDefault="007110AB" w:rsidP="007110AB">
      <w:pPr>
        <w:pStyle w:val="Odstavecseseznamem"/>
        <w:numPr>
          <w:ilvl w:val="0"/>
          <w:numId w:val="36"/>
        </w:numPr>
        <w:spacing w:after="120"/>
        <w:jc w:val="both"/>
        <w:rPr>
          <w:color w:val="1F1F1F"/>
        </w:rPr>
      </w:pPr>
      <w:r w:rsidRPr="007110AB">
        <w:rPr>
          <w:color w:val="1F1F1F"/>
        </w:rPr>
        <w:t>v 2. VS bylo zkontrolováno 345 posudků a</w:t>
      </w:r>
      <w:r w:rsidR="00CE7C79">
        <w:rPr>
          <w:color w:val="1F1F1F"/>
        </w:rPr>
        <w:t> </w:t>
      </w:r>
      <w:r w:rsidRPr="007110AB">
        <w:rPr>
          <w:color w:val="1F1F1F"/>
        </w:rPr>
        <w:t>bylo požádáno o</w:t>
      </w:r>
      <w:r w:rsidR="00CE7C79">
        <w:rPr>
          <w:color w:val="1F1F1F"/>
        </w:rPr>
        <w:t> </w:t>
      </w:r>
      <w:r w:rsidRPr="007110AB">
        <w:rPr>
          <w:color w:val="1F1F1F"/>
        </w:rPr>
        <w:t>opravu 27 posudků</w:t>
      </w:r>
      <w:r w:rsidR="00BA2423">
        <w:rPr>
          <w:color w:val="1F1F1F"/>
        </w:rPr>
        <w:t>,</w:t>
      </w:r>
    </w:p>
    <w:p w14:paraId="7AC85F47" w14:textId="25731A18" w:rsidR="007110AB" w:rsidRPr="007110AB" w:rsidRDefault="007110AB" w:rsidP="007110AB">
      <w:pPr>
        <w:pStyle w:val="Odstavecseseznamem"/>
        <w:numPr>
          <w:ilvl w:val="0"/>
          <w:numId w:val="36"/>
        </w:numPr>
        <w:spacing w:after="120"/>
        <w:jc w:val="both"/>
        <w:rPr>
          <w:color w:val="1F1F1F"/>
        </w:rPr>
      </w:pPr>
      <w:r w:rsidRPr="007110AB">
        <w:rPr>
          <w:color w:val="1F1F1F"/>
        </w:rPr>
        <w:t>v 3. VS bylo zkontrolováno 1</w:t>
      </w:r>
      <w:r w:rsidR="008B4562">
        <w:rPr>
          <w:color w:val="1F1F1F"/>
        </w:rPr>
        <w:t xml:space="preserve"> </w:t>
      </w:r>
      <w:r w:rsidRPr="007110AB">
        <w:rPr>
          <w:color w:val="1F1F1F"/>
        </w:rPr>
        <w:t>311 posudků a</w:t>
      </w:r>
      <w:r w:rsidR="00CE7C79">
        <w:rPr>
          <w:color w:val="1F1F1F"/>
        </w:rPr>
        <w:t> </w:t>
      </w:r>
      <w:r w:rsidRPr="007110AB">
        <w:rPr>
          <w:color w:val="1F1F1F"/>
        </w:rPr>
        <w:t>bylo požádáno o</w:t>
      </w:r>
      <w:r w:rsidR="00CE7C79">
        <w:rPr>
          <w:color w:val="1F1F1F"/>
        </w:rPr>
        <w:t> </w:t>
      </w:r>
      <w:r w:rsidRPr="007110AB">
        <w:rPr>
          <w:color w:val="1F1F1F"/>
        </w:rPr>
        <w:t>opravu 218 posudků</w:t>
      </w:r>
      <w:r w:rsidR="00BA2423">
        <w:rPr>
          <w:color w:val="1F1F1F"/>
        </w:rPr>
        <w:t>,</w:t>
      </w:r>
    </w:p>
    <w:p w14:paraId="73FC0E0B" w14:textId="2485A291" w:rsidR="007110AB" w:rsidRPr="007110AB" w:rsidRDefault="007110AB" w:rsidP="007110AB">
      <w:pPr>
        <w:pStyle w:val="Odstavecseseznamem"/>
        <w:numPr>
          <w:ilvl w:val="0"/>
          <w:numId w:val="36"/>
        </w:numPr>
        <w:spacing w:after="120"/>
        <w:jc w:val="both"/>
        <w:rPr>
          <w:color w:val="1F1F1F"/>
        </w:rPr>
      </w:pPr>
      <w:r w:rsidRPr="007110AB">
        <w:rPr>
          <w:color w:val="1F1F1F"/>
        </w:rPr>
        <w:t>v 4. VS bylo zkontrolováno 405 posudků a</w:t>
      </w:r>
      <w:r w:rsidR="00CE7C79">
        <w:rPr>
          <w:color w:val="1F1F1F"/>
        </w:rPr>
        <w:t> </w:t>
      </w:r>
      <w:r w:rsidRPr="007110AB">
        <w:rPr>
          <w:color w:val="1F1F1F"/>
        </w:rPr>
        <w:t>bylo požádáno o</w:t>
      </w:r>
      <w:r w:rsidR="00CE7C79">
        <w:rPr>
          <w:color w:val="1F1F1F"/>
        </w:rPr>
        <w:t> </w:t>
      </w:r>
      <w:r w:rsidRPr="007110AB">
        <w:rPr>
          <w:color w:val="1F1F1F"/>
        </w:rPr>
        <w:t>opravu 84 posudků</w:t>
      </w:r>
      <w:r w:rsidR="00BA2423">
        <w:rPr>
          <w:color w:val="1F1F1F"/>
        </w:rPr>
        <w:t>,</w:t>
      </w:r>
    </w:p>
    <w:p w14:paraId="27B3A187" w14:textId="4C14B0CA" w:rsidR="007110AB" w:rsidRPr="007110AB" w:rsidRDefault="007110AB" w:rsidP="007110AB">
      <w:pPr>
        <w:pStyle w:val="Odstavecseseznamem"/>
        <w:numPr>
          <w:ilvl w:val="0"/>
          <w:numId w:val="36"/>
        </w:numPr>
        <w:spacing w:after="120"/>
        <w:jc w:val="both"/>
        <w:rPr>
          <w:color w:val="1F1F1F"/>
        </w:rPr>
      </w:pPr>
      <w:r w:rsidRPr="007110AB">
        <w:rPr>
          <w:color w:val="1F1F1F"/>
        </w:rPr>
        <w:t>v 6. VS bylo zkontrolováno 1</w:t>
      </w:r>
      <w:r w:rsidR="008B4562">
        <w:rPr>
          <w:color w:val="1F1F1F"/>
        </w:rPr>
        <w:t xml:space="preserve"> </w:t>
      </w:r>
      <w:r w:rsidRPr="007110AB">
        <w:rPr>
          <w:color w:val="1F1F1F"/>
        </w:rPr>
        <w:t>524 posudků a</w:t>
      </w:r>
      <w:r w:rsidR="00CE7C79">
        <w:rPr>
          <w:color w:val="1F1F1F"/>
        </w:rPr>
        <w:t> </w:t>
      </w:r>
      <w:r w:rsidRPr="007110AB">
        <w:rPr>
          <w:color w:val="1F1F1F"/>
        </w:rPr>
        <w:t>bylo požádáno o</w:t>
      </w:r>
      <w:r w:rsidR="00CE7C79">
        <w:rPr>
          <w:color w:val="1F1F1F"/>
        </w:rPr>
        <w:t> </w:t>
      </w:r>
      <w:r w:rsidRPr="007110AB">
        <w:rPr>
          <w:color w:val="1F1F1F"/>
        </w:rPr>
        <w:t>opravu 434 posudků</w:t>
      </w:r>
      <w:r w:rsidR="00BA2423">
        <w:rPr>
          <w:color w:val="1F1F1F"/>
        </w:rPr>
        <w:t>,</w:t>
      </w:r>
    </w:p>
    <w:p w14:paraId="31487051" w14:textId="3245B25B" w:rsidR="007110AB" w:rsidRPr="007110AB" w:rsidRDefault="007110AB" w:rsidP="007110AB">
      <w:pPr>
        <w:pStyle w:val="Odstavecseseznamem"/>
        <w:numPr>
          <w:ilvl w:val="0"/>
          <w:numId w:val="36"/>
        </w:numPr>
        <w:spacing w:after="120"/>
        <w:jc w:val="both"/>
        <w:rPr>
          <w:color w:val="1F1F1F"/>
        </w:rPr>
      </w:pPr>
      <w:r w:rsidRPr="007110AB">
        <w:rPr>
          <w:color w:val="1F1F1F"/>
        </w:rPr>
        <w:t>v 7. VS bylo zkontrolováno 39 posudků a</w:t>
      </w:r>
      <w:r w:rsidR="00CE7C79">
        <w:rPr>
          <w:color w:val="1F1F1F"/>
        </w:rPr>
        <w:t> </w:t>
      </w:r>
      <w:r w:rsidRPr="007110AB">
        <w:rPr>
          <w:color w:val="1F1F1F"/>
        </w:rPr>
        <w:t>bylo požádáno o</w:t>
      </w:r>
      <w:r w:rsidR="00CE7C79">
        <w:rPr>
          <w:color w:val="1F1F1F"/>
        </w:rPr>
        <w:t> </w:t>
      </w:r>
      <w:r w:rsidRPr="007110AB">
        <w:rPr>
          <w:color w:val="1F1F1F"/>
        </w:rPr>
        <w:t>opravu 12 posudků</w:t>
      </w:r>
      <w:r w:rsidR="00BA2423">
        <w:rPr>
          <w:color w:val="1F1F1F"/>
        </w:rPr>
        <w:t>,</w:t>
      </w:r>
    </w:p>
    <w:p w14:paraId="430996B6" w14:textId="1A3CDB0D" w:rsidR="007110AB" w:rsidRPr="007110AB" w:rsidRDefault="007110AB" w:rsidP="007110AB">
      <w:pPr>
        <w:pStyle w:val="Odstavecseseznamem"/>
        <w:numPr>
          <w:ilvl w:val="0"/>
          <w:numId w:val="36"/>
        </w:numPr>
        <w:spacing w:after="120"/>
        <w:jc w:val="both"/>
        <w:rPr>
          <w:color w:val="1F1F1F"/>
        </w:rPr>
      </w:pPr>
      <w:r w:rsidRPr="007110AB">
        <w:rPr>
          <w:color w:val="1F1F1F"/>
        </w:rPr>
        <w:t>v 8. VS bylo zkontrolováno 69 posudků a</w:t>
      </w:r>
      <w:r w:rsidR="00CE7C79">
        <w:rPr>
          <w:color w:val="1F1F1F"/>
        </w:rPr>
        <w:t> </w:t>
      </w:r>
      <w:r w:rsidRPr="007110AB">
        <w:rPr>
          <w:color w:val="1F1F1F"/>
        </w:rPr>
        <w:t>bylo požádáno o</w:t>
      </w:r>
      <w:r w:rsidR="00CE7C79">
        <w:rPr>
          <w:color w:val="1F1F1F"/>
        </w:rPr>
        <w:t> </w:t>
      </w:r>
      <w:r w:rsidRPr="007110AB">
        <w:rPr>
          <w:color w:val="1F1F1F"/>
        </w:rPr>
        <w:t>opravu 27 posudků</w:t>
      </w:r>
      <w:r w:rsidR="00BA2423">
        <w:rPr>
          <w:color w:val="1F1F1F"/>
        </w:rPr>
        <w:t>,</w:t>
      </w:r>
    </w:p>
    <w:p w14:paraId="61E7A24D" w14:textId="0CC8E5EE" w:rsidR="007110AB" w:rsidRPr="007110AB" w:rsidRDefault="007110AB" w:rsidP="007110AB">
      <w:pPr>
        <w:pStyle w:val="Odstavecseseznamem"/>
        <w:numPr>
          <w:ilvl w:val="0"/>
          <w:numId w:val="36"/>
        </w:numPr>
        <w:spacing w:after="120"/>
        <w:jc w:val="both"/>
        <w:rPr>
          <w:color w:val="1F1F1F"/>
        </w:rPr>
      </w:pPr>
      <w:r w:rsidRPr="007110AB">
        <w:rPr>
          <w:color w:val="1F1F1F"/>
        </w:rPr>
        <w:t>v 9. VS bylo zkontrolováno 261 posudků a</w:t>
      </w:r>
      <w:r w:rsidR="00CE7C79">
        <w:rPr>
          <w:color w:val="1F1F1F"/>
        </w:rPr>
        <w:t> </w:t>
      </w:r>
      <w:r w:rsidRPr="007110AB">
        <w:rPr>
          <w:color w:val="1F1F1F"/>
        </w:rPr>
        <w:t>bylo požádáno o</w:t>
      </w:r>
      <w:r w:rsidR="00CE7C79">
        <w:rPr>
          <w:color w:val="1F1F1F"/>
        </w:rPr>
        <w:t> </w:t>
      </w:r>
      <w:r w:rsidRPr="007110AB">
        <w:rPr>
          <w:color w:val="1F1F1F"/>
        </w:rPr>
        <w:t>opravu 148 posudků</w:t>
      </w:r>
      <w:r w:rsidR="00BA2423">
        <w:rPr>
          <w:color w:val="1F1F1F"/>
        </w:rPr>
        <w:t>,</w:t>
      </w:r>
    </w:p>
    <w:p w14:paraId="46F19B43" w14:textId="5FB67AD9" w:rsidR="000851E0" w:rsidRPr="000851E0" w:rsidRDefault="007110AB" w:rsidP="007110AB">
      <w:pPr>
        <w:pStyle w:val="Odstavecseseznamem"/>
        <w:numPr>
          <w:ilvl w:val="0"/>
          <w:numId w:val="36"/>
        </w:numPr>
        <w:spacing w:after="120"/>
        <w:jc w:val="both"/>
        <w:rPr>
          <w:color w:val="1F1F1F"/>
          <w:shd w:val="clear" w:color="auto" w:fill="93C47D"/>
        </w:rPr>
      </w:pPr>
      <w:r w:rsidRPr="007110AB">
        <w:rPr>
          <w:color w:val="1F1F1F"/>
        </w:rPr>
        <w:t>v 10. VS bylo zkontrolováno 1</w:t>
      </w:r>
      <w:r w:rsidR="008B4562">
        <w:rPr>
          <w:color w:val="1F1F1F"/>
        </w:rPr>
        <w:t xml:space="preserve"> </w:t>
      </w:r>
      <w:r w:rsidRPr="007110AB">
        <w:rPr>
          <w:color w:val="1F1F1F"/>
        </w:rPr>
        <w:t>098 posudků a</w:t>
      </w:r>
      <w:r w:rsidR="00CE7C79">
        <w:rPr>
          <w:color w:val="1F1F1F"/>
        </w:rPr>
        <w:t> </w:t>
      </w:r>
      <w:r w:rsidRPr="007110AB">
        <w:rPr>
          <w:color w:val="1F1F1F"/>
        </w:rPr>
        <w:t>bylo požádáno o</w:t>
      </w:r>
      <w:r w:rsidR="00CE7C79">
        <w:rPr>
          <w:color w:val="1F1F1F"/>
        </w:rPr>
        <w:t> </w:t>
      </w:r>
      <w:r w:rsidRPr="007110AB">
        <w:rPr>
          <w:color w:val="1F1F1F"/>
        </w:rPr>
        <w:t>opravu 558 posudků</w:t>
      </w:r>
      <w:r w:rsidR="00BA2423">
        <w:rPr>
          <w:color w:val="1F1F1F"/>
        </w:rPr>
        <w:t>,</w:t>
      </w:r>
    </w:p>
    <w:p w14:paraId="69BE6D35" w14:textId="0FC0EFA1" w:rsidR="007E7F04" w:rsidRPr="007110AB" w:rsidRDefault="000851E0" w:rsidP="007110AB">
      <w:pPr>
        <w:pStyle w:val="Odstavecseseznamem"/>
        <w:numPr>
          <w:ilvl w:val="0"/>
          <w:numId w:val="36"/>
        </w:numPr>
        <w:spacing w:after="120"/>
        <w:jc w:val="both"/>
        <w:rPr>
          <w:color w:val="1F1F1F"/>
          <w:shd w:val="clear" w:color="auto" w:fill="93C47D"/>
        </w:rPr>
      </w:pPr>
      <w:r>
        <w:rPr>
          <w:color w:val="1F1F1F"/>
        </w:rPr>
        <w:t xml:space="preserve">v 11. VS </w:t>
      </w:r>
      <w:r w:rsidR="00BA2423">
        <w:rPr>
          <w:color w:val="1F1F1F"/>
        </w:rPr>
        <w:t>bylo zkontrolováno 1 074 posudků a bylo požádáno o opravu 369 posudků.</w:t>
      </w:r>
    </w:p>
    <w:p w14:paraId="041A4B82" w14:textId="018C2BE6" w:rsidR="007E7F04" w:rsidRDefault="007E7F04" w:rsidP="007E7F04">
      <w:pPr>
        <w:spacing w:after="120"/>
        <w:jc w:val="both"/>
        <w:rPr>
          <w:color w:val="1F1F1F"/>
          <w:shd w:val="clear" w:color="auto" w:fill="93C47D"/>
        </w:rPr>
      </w:pPr>
      <w:r w:rsidRPr="007110AB">
        <w:rPr>
          <w:color w:val="1F1F1F"/>
        </w:rPr>
        <w:t xml:space="preserve">Po hodnocení oponentů jsou posudky předány zpravodajům, kteří </w:t>
      </w:r>
      <w:r w:rsidR="00DB3F0F">
        <w:rPr>
          <w:color w:val="1F1F1F"/>
        </w:rPr>
        <w:t>mimo jiné</w:t>
      </w:r>
      <w:r w:rsidRPr="007110AB">
        <w:rPr>
          <w:color w:val="1F1F1F"/>
        </w:rPr>
        <w:t xml:space="preserve"> hodnotí práci </w:t>
      </w:r>
      <w:r w:rsidR="00D52663" w:rsidRPr="007110AB">
        <w:rPr>
          <w:color w:val="1F1F1F"/>
        </w:rPr>
        <w:t>oponentů – hodnotí</w:t>
      </w:r>
      <w:r w:rsidRPr="007110AB">
        <w:rPr>
          <w:color w:val="1F1F1F"/>
        </w:rPr>
        <w:t xml:space="preserve"> dvě kritéria u</w:t>
      </w:r>
      <w:r w:rsidR="00CE7C79">
        <w:rPr>
          <w:color w:val="1F1F1F"/>
        </w:rPr>
        <w:t> </w:t>
      </w:r>
      <w:r w:rsidRPr="007110AB">
        <w:rPr>
          <w:color w:val="1F1F1F"/>
        </w:rPr>
        <w:t>každého oponenta</w:t>
      </w:r>
      <w:r w:rsidR="000851E0">
        <w:rPr>
          <w:color w:val="1F1F1F"/>
        </w:rPr>
        <w:t>,</w:t>
      </w:r>
      <w:r w:rsidRPr="007110AB">
        <w:rPr>
          <w:color w:val="1F1F1F"/>
        </w:rPr>
        <w:t xml:space="preserve"> a</w:t>
      </w:r>
      <w:r w:rsidR="00CE7C79">
        <w:rPr>
          <w:color w:val="1F1F1F"/>
        </w:rPr>
        <w:t> </w:t>
      </w:r>
      <w:r w:rsidRPr="007110AB">
        <w:rPr>
          <w:color w:val="1F1F1F"/>
        </w:rPr>
        <w:t>to koherentnost (soulad bodového hodnocení a</w:t>
      </w:r>
      <w:r w:rsidR="00CE7C79">
        <w:rPr>
          <w:color w:val="1F1F1F"/>
        </w:rPr>
        <w:t> </w:t>
      </w:r>
      <w:r w:rsidRPr="007110AB">
        <w:rPr>
          <w:color w:val="1F1F1F"/>
        </w:rPr>
        <w:t>textového posouzení) a</w:t>
      </w:r>
      <w:r w:rsidR="00CE7C79">
        <w:rPr>
          <w:color w:val="1F1F1F"/>
        </w:rPr>
        <w:t> </w:t>
      </w:r>
      <w:r w:rsidRPr="007110AB">
        <w:rPr>
          <w:color w:val="1F1F1F"/>
        </w:rPr>
        <w:t>věrohodnost (odbornost oponenta). Pool oponentů se upravuje na základě hodnocení zpravodaji a</w:t>
      </w:r>
      <w:r w:rsidR="00CE7C79">
        <w:rPr>
          <w:color w:val="1F1F1F"/>
        </w:rPr>
        <w:t> </w:t>
      </w:r>
      <w:r w:rsidRPr="007110AB">
        <w:rPr>
          <w:color w:val="1F1F1F"/>
        </w:rPr>
        <w:t>výběr zpravodajů se upravuje po dohodě s</w:t>
      </w:r>
      <w:r w:rsidR="00CE7C79">
        <w:rPr>
          <w:color w:val="1F1F1F"/>
        </w:rPr>
        <w:t> </w:t>
      </w:r>
      <w:r w:rsidRPr="007110AB">
        <w:rPr>
          <w:color w:val="1F1F1F"/>
        </w:rPr>
        <w:t>MPO.</w:t>
      </w:r>
      <w:r>
        <w:rPr>
          <w:color w:val="1F1F1F"/>
          <w:shd w:val="clear" w:color="auto" w:fill="93C47D"/>
        </w:rPr>
        <w:t xml:space="preserve"> </w:t>
      </w:r>
    </w:p>
    <w:p w14:paraId="6DFAB524" w14:textId="15044666" w:rsidR="00DB3F0F" w:rsidRDefault="00DB3F0F" w:rsidP="00DB3F0F">
      <w:pPr>
        <w:spacing w:after="120"/>
        <w:jc w:val="both"/>
      </w:pPr>
      <w:r>
        <w:t>Především však zpravodaj navrhuje výsledné hodnocení na základě tří zpracovaných oponentních posudků. Vypracuje souhrnnou hodnoticí zprávu</w:t>
      </w:r>
      <w:r w:rsidR="00B929ED">
        <w:t xml:space="preserve"> (SHZ)</w:t>
      </w:r>
      <w:r>
        <w:t>, ve které se vyjádří k</w:t>
      </w:r>
      <w:r w:rsidR="00B929ED">
        <w:t xml:space="preserve"> naplnění binárních kritérií, k </w:t>
      </w:r>
      <w:r>
        <w:t>hodnocení oponentů, shrne klady a</w:t>
      </w:r>
      <w:r w:rsidR="00CE7C79">
        <w:t> </w:t>
      </w:r>
      <w:r>
        <w:t>zápory návrhu projektu</w:t>
      </w:r>
      <w:r w:rsidR="00B929ED">
        <w:t xml:space="preserve">, </w:t>
      </w:r>
      <w:r>
        <w:t xml:space="preserve">vyjádří </w:t>
      </w:r>
      <w:r w:rsidR="00B929ED">
        <w:t xml:space="preserve">se </w:t>
      </w:r>
      <w:r>
        <w:t>k</w:t>
      </w:r>
      <w:r w:rsidR="00CE7C79">
        <w:t> </w:t>
      </w:r>
      <w:r w:rsidR="00B929ED">
        <w:t>adekvátnosti finančního plánu</w:t>
      </w:r>
      <w:r w:rsidR="00B67A23">
        <w:t xml:space="preserve"> a</w:t>
      </w:r>
      <w:r w:rsidR="00CE7C79">
        <w:t> </w:t>
      </w:r>
      <w:r>
        <w:t>navrhne udělení bodů za bonifikační kritéria</w:t>
      </w:r>
      <w:r w:rsidR="00B67A23">
        <w:t>. Zpravodaj ta</w:t>
      </w:r>
      <w:r w:rsidR="00B929ED">
        <w:t xml:space="preserve">ké může </w:t>
      </w:r>
      <w:r w:rsidR="00B67A23">
        <w:t>navrhnout</w:t>
      </w:r>
      <w:r w:rsidR="00B929ED">
        <w:t xml:space="preserve"> bodovou korekci hodnocení </w:t>
      </w:r>
      <w:r w:rsidR="00B67A23">
        <w:t>od </w:t>
      </w:r>
      <w:r w:rsidR="00B929ED">
        <w:t xml:space="preserve">jednotlivých oponentů v případě, kdy některá kritéria nehodnotili v souladu s podmínkami soutěže či </w:t>
      </w:r>
      <w:r w:rsidR="00B67A23">
        <w:t xml:space="preserve">je bodově </w:t>
      </w:r>
      <w:r w:rsidR="00B929ED">
        <w:t xml:space="preserve">hodnotili </w:t>
      </w:r>
      <w:r w:rsidR="00B67A23">
        <w:t>způsobem neodpovídajícím jejich vlastnímu věcnému zhodnocení</w:t>
      </w:r>
      <w:r w:rsidR="00B929ED">
        <w:t>.</w:t>
      </w:r>
    </w:p>
    <w:p w14:paraId="4F57160B" w14:textId="600D850E" w:rsidR="00DB3F0F" w:rsidRDefault="00DB3F0F" w:rsidP="00DB3F0F">
      <w:pPr>
        <w:spacing w:after="120"/>
        <w:jc w:val="both"/>
      </w:pPr>
      <w:r>
        <w:t>Zpravodaje k</w:t>
      </w:r>
      <w:r w:rsidR="00CE7C79">
        <w:t> </w:t>
      </w:r>
      <w:r>
        <w:t>jednotlivým projektům navrhuje MPO ze sloučené databáze odborných hodnotitelů TA ČR a</w:t>
      </w:r>
      <w:r w:rsidR="00CE7C79">
        <w:t> </w:t>
      </w:r>
      <w:r>
        <w:t>MPO, a</w:t>
      </w:r>
      <w:r w:rsidR="00CE7C79">
        <w:t> </w:t>
      </w:r>
      <w:r>
        <w:t>to na základě jejich oborového zaměření, vyhodnocení kvality práce zpravodajů z</w:t>
      </w:r>
      <w:r w:rsidR="00CE7C79">
        <w:t> </w:t>
      </w:r>
      <w:r>
        <w:t>předchozích veřejných soutěží, jejich vytíženosti a</w:t>
      </w:r>
      <w:r w:rsidR="00CE7C79">
        <w:t> </w:t>
      </w:r>
      <w:r>
        <w:t>samozřejmě při dodržení zásady nepodjatosti.</w:t>
      </w:r>
    </w:p>
    <w:p w14:paraId="3CFD3205" w14:textId="580E782D" w:rsidR="000851E0" w:rsidRDefault="007E7F04" w:rsidP="00DB3F0F">
      <w:pPr>
        <w:spacing w:after="120"/>
        <w:jc w:val="both"/>
      </w:pPr>
      <w:r w:rsidRPr="007110AB">
        <w:lastRenderedPageBreak/>
        <w:t xml:space="preserve">Kontrola </w:t>
      </w:r>
      <w:r w:rsidR="00080C79" w:rsidRPr="007110AB">
        <w:t xml:space="preserve">souladu zpracování </w:t>
      </w:r>
      <w:r w:rsidRPr="007110AB">
        <w:t xml:space="preserve">SHZ </w:t>
      </w:r>
      <w:r w:rsidR="00080C79" w:rsidRPr="007110AB">
        <w:t xml:space="preserve">se stanovenými pravidly hodnoticího procesu </w:t>
      </w:r>
      <w:r w:rsidRPr="007110AB">
        <w:t>je v</w:t>
      </w:r>
      <w:r w:rsidR="00CE7C79">
        <w:t> </w:t>
      </w:r>
      <w:r w:rsidRPr="007110AB">
        <w:t>gesci MPO, jemuž TA ČR zpřístupňuje relevantní dokumenty k</w:t>
      </w:r>
      <w:r w:rsidR="00CE7C79">
        <w:t> </w:t>
      </w:r>
      <w:r w:rsidRPr="007110AB">
        <w:t>hodnocení.</w:t>
      </w:r>
      <w:r w:rsidR="00C0240D" w:rsidRPr="00080C79">
        <w:t xml:space="preserve"> MPO vrací zpravodajům v</w:t>
      </w:r>
      <w:r w:rsidR="00CE7C79">
        <w:t> </w:t>
      </w:r>
      <w:r w:rsidR="00C0240D" w:rsidRPr="00080C79">
        <w:t>průměru až cca třetinu SHZ k</w:t>
      </w:r>
      <w:r w:rsidR="00CE7C79">
        <w:t> </w:t>
      </w:r>
      <w:r w:rsidR="00C0240D" w:rsidRPr="00080C79">
        <w:t>opravě či doplnění, například v</w:t>
      </w:r>
      <w:r w:rsidR="00CE7C79">
        <w:t> </w:t>
      </w:r>
      <w:r w:rsidR="00C0240D" w:rsidRPr="00080C79">
        <w:t>10.</w:t>
      </w:r>
      <w:r w:rsidR="000851E0">
        <w:t xml:space="preserve"> </w:t>
      </w:r>
      <w:r w:rsidR="00C0240D" w:rsidRPr="00080C79">
        <w:t>VS vrátilo 97 z</w:t>
      </w:r>
      <w:r w:rsidR="00CE7C79">
        <w:t> </w:t>
      </w:r>
      <w:r w:rsidR="00C0240D" w:rsidRPr="00080C79">
        <w:t>celkových 367 kontrolovaných SHZ</w:t>
      </w:r>
      <w:r w:rsidR="00080C79" w:rsidRPr="00080C79">
        <w:t>, z</w:t>
      </w:r>
      <w:r w:rsidR="00CE7C79">
        <w:t> </w:t>
      </w:r>
      <w:r w:rsidR="00080C79" w:rsidRPr="00080C79">
        <w:t>toho ještě v</w:t>
      </w:r>
      <w:r w:rsidR="00CE7C79">
        <w:t> </w:t>
      </w:r>
      <w:r w:rsidR="00080C79" w:rsidRPr="00080C79">
        <w:t>některých případech opakovaně</w:t>
      </w:r>
      <w:r w:rsidR="00C0240D" w:rsidRPr="00080C79">
        <w:t>.</w:t>
      </w:r>
      <w:r w:rsidR="00080C79" w:rsidRPr="00080C79">
        <w:t xml:space="preserve"> Hlavním</w:t>
      </w:r>
      <w:r w:rsidR="000851E0">
        <w:t>i</w:t>
      </w:r>
      <w:r w:rsidR="00080C79" w:rsidRPr="00080C79">
        <w:t xml:space="preserve"> důvod</w:t>
      </w:r>
      <w:r w:rsidR="000851E0">
        <w:t>y</w:t>
      </w:r>
      <w:r w:rsidR="00080C79" w:rsidRPr="00080C79">
        <w:t xml:space="preserve"> pro neschválení SHZ</w:t>
      </w:r>
      <w:r w:rsidR="00974EBC">
        <w:t>, které lze také označit jako obecně problematická místa hodnocení jako takového,</w:t>
      </w:r>
      <w:r w:rsidR="00080C79" w:rsidRPr="00080C79">
        <w:t xml:space="preserve"> j</w:t>
      </w:r>
      <w:r w:rsidR="000851E0">
        <w:t>sou:</w:t>
      </w:r>
    </w:p>
    <w:p w14:paraId="26069005" w14:textId="2F826AA8" w:rsidR="00974EBC" w:rsidRPr="00974EBC" w:rsidRDefault="00974EBC" w:rsidP="00974EBC">
      <w:pPr>
        <w:pStyle w:val="Odstavecseseznamem"/>
        <w:numPr>
          <w:ilvl w:val="0"/>
          <w:numId w:val="40"/>
        </w:numPr>
        <w:spacing w:after="120"/>
        <w:jc w:val="both"/>
        <w:rPr>
          <w:shd w:val="clear" w:color="auto" w:fill="93C47D"/>
        </w:rPr>
      </w:pPr>
      <w:r w:rsidRPr="00974EBC">
        <w:rPr>
          <w:b/>
          <w:bCs/>
        </w:rPr>
        <w:t>binární kritéria</w:t>
      </w:r>
      <w:r>
        <w:t xml:space="preserve"> – nejasné či nedostatečné vyjádření k jejich splnění či nesplnění</w:t>
      </w:r>
      <w:r w:rsidRPr="00080C79">
        <w:t xml:space="preserve">, </w:t>
      </w:r>
      <w:r>
        <w:t>obzvlášť v případech, kdy tato byla některým z oponentů zpochybněna;</w:t>
      </w:r>
    </w:p>
    <w:p w14:paraId="60B296DA" w14:textId="0DEB0C86" w:rsidR="00974EBC" w:rsidRPr="00974EBC" w:rsidRDefault="00974EBC" w:rsidP="000851E0">
      <w:pPr>
        <w:pStyle w:val="Odstavecseseznamem"/>
        <w:numPr>
          <w:ilvl w:val="0"/>
          <w:numId w:val="40"/>
        </w:numPr>
        <w:spacing w:after="120"/>
        <w:jc w:val="both"/>
        <w:rPr>
          <w:shd w:val="clear" w:color="auto" w:fill="93C47D"/>
        </w:rPr>
      </w:pPr>
      <w:r w:rsidRPr="00974EBC">
        <w:rPr>
          <w:b/>
          <w:bCs/>
        </w:rPr>
        <w:t>rozpočet projektu</w:t>
      </w:r>
      <w:r>
        <w:t xml:space="preserve"> – nevyjádření</w:t>
      </w:r>
      <w:r w:rsidR="00080C79" w:rsidRPr="00080C79">
        <w:t xml:space="preserve"> se </w:t>
      </w:r>
      <w:r>
        <w:t>či vadné vyjádření</w:t>
      </w:r>
      <w:r w:rsidR="00080C79" w:rsidRPr="00080C79">
        <w:t>,</w:t>
      </w:r>
      <w:r>
        <w:t xml:space="preserve"> kde zpravodaj buď nereaguje na relevantní výtky oponenta, případně navrhuje úpravy v rozporu s pravidly hodnocení;</w:t>
      </w:r>
    </w:p>
    <w:p w14:paraId="0D4C2BF4" w14:textId="02960578" w:rsidR="00974EBC" w:rsidRPr="00974EBC" w:rsidRDefault="00974EBC" w:rsidP="000851E0">
      <w:pPr>
        <w:pStyle w:val="Odstavecseseznamem"/>
        <w:numPr>
          <w:ilvl w:val="0"/>
          <w:numId w:val="40"/>
        </w:numPr>
        <w:spacing w:after="120"/>
        <w:jc w:val="both"/>
        <w:rPr>
          <w:shd w:val="clear" w:color="auto" w:fill="93C47D"/>
        </w:rPr>
      </w:pPr>
      <w:r>
        <w:rPr>
          <w:b/>
          <w:bCs/>
        </w:rPr>
        <w:t>bodové korekce</w:t>
      </w:r>
      <w:r w:rsidRPr="00974EBC">
        <w:t xml:space="preserve"> – nedostatečně zdůvodněný návrh</w:t>
      </w:r>
      <w:r>
        <w:t>, případně návrh neodpovídá komentáři k rozdílům v oponentních posudcích;</w:t>
      </w:r>
    </w:p>
    <w:p w14:paraId="7CDDDB8A" w14:textId="53E15375" w:rsidR="00974EBC" w:rsidRPr="00974EBC" w:rsidRDefault="00974EBC" w:rsidP="00974EBC">
      <w:pPr>
        <w:pStyle w:val="Odstavecseseznamem"/>
        <w:numPr>
          <w:ilvl w:val="0"/>
          <w:numId w:val="40"/>
        </w:numPr>
        <w:spacing w:after="120"/>
        <w:jc w:val="both"/>
        <w:rPr>
          <w:shd w:val="clear" w:color="auto" w:fill="93C47D"/>
        </w:rPr>
      </w:pPr>
      <w:r w:rsidRPr="00974EBC">
        <w:rPr>
          <w:b/>
          <w:bCs/>
        </w:rPr>
        <w:t>bonifikační kritéria</w:t>
      </w:r>
      <w:r>
        <w:t xml:space="preserve"> – </w:t>
      </w:r>
      <w:r w:rsidRPr="00080C79">
        <w:t>nedostatečné zdůvodnění</w:t>
      </w:r>
      <w:r>
        <w:t xml:space="preserve"> návrhu přidělení</w:t>
      </w:r>
      <w:r w:rsidRPr="00974EBC">
        <w:t xml:space="preserve"> </w:t>
      </w:r>
      <w:r>
        <w:t>bonifikace či zjevně chybně vyhodnocené kritérium, kde zpravodaj komentuje pouze skutečnosti, které nejsou obsahem kritéria;</w:t>
      </w:r>
    </w:p>
    <w:p w14:paraId="50FBA33B" w14:textId="511A63F3" w:rsidR="007E7F04" w:rsidRPr="000851E0" w:rsidRDefault="00080C79" w:rsidP="000851E0">
      <w:pPr>
        <w:pStyle w:val="Odstavecseseznamem"/>
        <w:numPr>
          <w:ilvl w:val="0"/>
          <w:numId w:val="40"/>
        </w:numPr>
        <w:spacing w:after="120"/>
        <w:jc w:val="both"/>
        <w:rPr>
          <w:shd w:val="clear" w:color="auto" w:fill="93C47D"/>
        </w:rPr>
      </w:pPr>
      <w:r w:rsidRPr="00080C79">
        <w:t>nedodržení jiných stanovených podmínek hodnocení</w:t>
      </w:r>
      <w:r w:rsidR="00974EBC">
        <w:t>, zejména neřízení se pravidly, za jakých okolností lze či nelze projekt doporučit k podpoře</w:t>
      </w:r>
      <w:r w:rsidRPr="00080C79">
        <w:t>.</w:t>
      </w:r>
    </w:p>
    <w:p w14:paraId="60B1E3A0" w14:textId="08B99A96" w:rsidR="007E7F04" w:rsidRDefault="007E7F04" w:rsidP="007E7F04">
      <w:pPr>
        <w:spacing w:after="120"/>
        <w:jc w:val="both"/>
        <w:rPr>
          <w:shd w:val="clear" w:color="auto" w:fill="93C47D"/>
        </w:rPr>
      </w:pPr>
      <w:r w:rsidRPr="000851E0">
        <w:t xml:space="preserve">TA ČR následně připravuje podklady pro hodnocení </w:t>
      </w:r>
      <w:r w:rsidR="008F0913" w:rsidRPr="000851E0">
        <w:t>Radou programu</w:t>
      </w:r>
      <w:r w:rsidRPr="000851E0">
        <w:t xml:space="preserve"> a</w:t>
      </w:r>
      <w:r w:rsidR="00CE7C79" w:rsidRPr="000851E0">
        <w:t> </w:t>
      </w:r>
      <w:r w:rsidRPr="000851E0">
        <w:t xml:space="preserve">ve stanovené lhůtě je sdílí se všemi členy </w:t>
      </w:r>
      <w:r w:rsidR="008F0913" w:rsidRPr="000851E0">
        <w:t>Rady</w:t>
      </w:r>
      <w:r w:rsidRPr="000851E0">
        <w:t xml:space="preserve">. Na zasedání </w:t>
      </w:r>
      <w:r w:rsidR="008F0913" w:rsidRPr="000851E0">
        <w:t xml:space="preserve">Rady </w:t>
      </w:r>
      <w:r w:rsidRPr="000851E0">
        <w:t xml:space="preserve">pak dohlíží na dodržení stanoveného hodnoticího procesu. Výsledek hodnocení </w:t>
      </w:r>
      <w:r w:rsidR="008F0913" w:rsidRPr="000851E0">
        <w:t>Radou</w:t>
      </w:r>
      <w:r w:rsidRPr="000851E0">
        <w:t>, tedy pořadník návrhů projektů, TA ČR po odsouhlasení</w:t>
      </w:r>
      <w:r w:rsidR="008F0913" w:rsidRPr="000851E0">
        <w:t xml:space="preserve"> zástupci MPO (jako gestora Programu)</w:t>
      </w:r>
      <w:r w:rsidRPr="000851E0">
        <w:t xml:space="preserve"> předává na jednání předsednictva TA ČR k</w:t>
      </w:r>
      <w:r w:rsidR="00CE7C79" w:rsidRPr="000851E0">
        <w:t> </w:t>
      </w:r>
      <w:r w:rsidRPr="000851E0">
        <w:t>finálnímu rozhodnut</w:t>
      </w:r>
      <w:r w:rsidR="007110AB" w:rsidRPr="000851E0">
        <w:t>í.</w:t>
      </w:r>
    </w:p>
    <w:p w14:paraId="23765F1F" w14:textId="657E8877" w:rsidR="007E7F04" w:rsidRDefault="007E7F04" w:rsidP="007E7F04">
      <w:pPr>
        <w:spacing w:after="120"/>
        <w:jc w:val="both"/>
        <w:rPr>
          <w:shd w:val="clear" w:color="auto" w:fill="93C47D"/>
        </w:rPr>
      </w:pPr>
      <w:r w:rsidRPr="007110AB">
        <w:t>Během a</w:t>
      </w:r>
      <w:r w:rsidR="00CE7C79">
        <w:t> </w:t>
      </w:r>
      <w:r w:rsidRPr="007110AB">
        <w:t>po ukončení hodnoticího procesu je zpracována zpětná vazba, která slouží jako podklad k</w:t>
      </w:r>
      <w:r w:rsidR="00CE7C79">
        <w:t> </w:t>
      </w:r>
      <w:r w:rsidRPr="007110AB">
        <w:t>prověření oponentů a</w:t>
      </w:r>
      <w:r w:rsidR="00CE7C79">
        <w:t> </w:t>
      </w:r>
      <w:r w:rsidRPr="007110AB">
        <w:t>zpravodajů, u</w:t>
      </w:r>
      <w:r w:rsidR="00CE7C79">
        <w:t> </w:t>
      </w:r>
      <w:r w:rsidRPr="007110AB">
        <w:t>kterých vznikly pochybnosti o</w:t>
      </w:r>
      <w:r w:rsidR="00CE7C79">
        <w:t> </w:t>
      </w:r>
      <w:r w:rsidRPr="007110AB">
        <w:t>jimi vypracovaných posudcích. Oponenty hodnotí ve</w:t>
      </w:r>
      <w:r w:rsidR="00B67A23">
        <w:t> </w:t>
      </w:r>
      <w:r w:rsidRPr="007110AB">
        <w:t xml:space="preserve">svých SHZ zpravodajové, </w:t>
      </w:r>
      <w:r w:rsidR="00614BA8">
        <w:t>p</w:t>
      </w:r>
      <w:r w:rsidRPr="007110AB">
        <w:t>ráci zpravodajů pak hodnotí členové odborného poradního orgánu</w:t>
      </w:r>
      <w:r w:rsidR="00BA2423">
        <w:t xml:space="preserve"> (Rady programu)</w:t>
      </w:r>
      <w:r w:rsidRPr="007110AB">
        <w:t>. Zpětnou vazbu zpracovává TA</w:t>
      </w:r>
      <w:r w:rsidR="002976E3">
        <w:t> </w:t>
      </w:r>
      <w:r w:rsidRPr="007110AB">
        <w:t>ČR. V</w:t>
      </w:r>
      <w:r w:rsidR="00CE7C79">
        <w:t> </w:t>
      </w:r>
      <w:r w:rsidRPr="007110AB">
        <w:t>odůvodněných případech může odstoupit od spolupráce s</w:t>
      </w:r>
      <w:r w:rsidR="00CE7C79">
        <w:t> </w:t>
      </w:r>
      <w:r w:rsidRPr="007110AB">
        <w:t>takto označeným hodnotitelem.</w:t>
      </w:r>
    </w:p>
    <w:p w14:paraId="3BEB880F" w14:textId="77777777" w:rsidR="007E7F04" w:rsidRDefault="007E7F04" w:rsidP="007E7F04">
      <w:pPr>
        <w:spacing w:after="120"/>
        <w:jc w:val="both"/>
        <w:rPr>
          <w:b/>
          <w:u w:val="single"/>
        </w:rPr>
      </w:pPr>
      <w:r>
        <w:rPr>
          <w:b/>
          <w:u w:val="single"/>
        </w:rPr>
        <w:t>Hodnocení odborným poradním orgánem</w:t>
      </w:r>
    </w:p>
    <w:p w14:paraId="55CF6D82" w14:textId="71348E4B" w:rsidR="007E7F04" w:rsidRDefault="007E7F04" w:rsidP="00B67A23">
      <w:pPr>
        <w:spacing w:after="120"/>
        <w:jc w:val="both"/>
      </w:pPr>
      <w:r>
        <w:t xml:space="preserve">Odborný poradní orgán poskytovatele </w:t>
      </w:r>
      <w:r w:rsidR="001E515A">
        <w:t xml:space="preserve">(zde Rada programu TREND) </w:t>
      </w:r>
      <w:r>
        <w:t>provádí v</w:t>
      </w:r>
      <w:r w:rsidR="00CE7C79">
        <w:t> </w:t>
      </w:r>
      <w:r>
        <w:t>souladu se zákonem vlastní nezávislé hodnocení projektů a</w:t>
      </w:r>
      <w:r w:rsidR="00CE7C79">
        <w:t> </w:t>
      </w:r>
      <w:r>
        <w:t>doporučuje poskytovateli jejich výsledné pořadí v</w:t>
      </w:r>
      <w:r w:rsidR="00CE7C79">
        <w:t> </w:t>
      </w:r>
      <w:r>
        <w:t>soutěži.</w:t>
      </w:r>
    </w:p>
    <w:p w14:paraId="63FCAAF4" w14:textId="6F373E63" w:rsidR="00B67A23" w:rsidRDefault="007E7F04" w:rsidP="00B67A23">
      <w:pPr>
        <w:spacing w:after="120"/>
        <w:jc w:val="both"/>
      </w:pPr>
      <w:r>
        <w:t>Při hodnocení návrhu projektu vychází odborný poradní orgán z</w:t>
      </w:r>
      <w:r w:rsidR="00CE7C79">
        <w:t> </w:t>
      </w:r>
      <w:r>
        <w:t>oponentských posudků a</w:t>
      </w:r>
      <w:r w:rsidR="00CE7C79">
        <w:t> </w:t>
      </w:r>
      <w:r>
        <w:t>souhrnné hodnoticí zprávy</w:t>
      </w:r>
      <w:r w:rsidR="00B67A23">
        <w:t xml:space="preserve"> zpravodaje</w:t>
      </w:r>
      <w:r>
        <w:t>. Odborný poradní orgán přiděluje body za bonifikační kritéria, může v</w:t>
      </w:r>
      <w:r w:rsidR="00CE7C79">
        <w:t> </w:t>
      </w:r>
      <w:r>
        <w:t>rámci podmínek soutěže</w:t>
      </w:r>
      <w:r w:rsidR="000E677D">
        <w:t xml:space="preserve"> a</w:t>
      </w:r>
      <w:r w:rsidR="00CE7C79">
        <w:t> </w:t>
      </w:r>
      <w:r>
        <w:t>stanovených omezení navrhnout změnu bodového hodnocení návrhu projektu, snížení nákladů projektu a</w:t>
      </w:r>
      <w:r w:rsidR="00CE7C79">
        <w:t> </w:t>
      </w:r>
      <w:r>
        <w:t>změnu poměru deklarovaných činností v</w:t>
      </w:r>
      <w:r w:rsidR="00CE7C79">
        <w:t> </w:t>
      </w:r>
      <w:r>
        <w:t>kategorii průmyslový výzkum a</w:t>
      </w:r>
      <w:r w:rsidR="00CE7C79">
        <w:t> </w:t>
      </w:r>
      <w:r>
        <w:t>experimentální vývoj u</w:t>
      </w:r>
      <w:r w:rsidR="00CE7C79">
        <w:t> </w:t>
      </w:r>
      <w:r>
        <w:t>jednotlivých uchazečů</w:t>
      </w:r>
      <w:r w:rsidR="00B67A23">
        <w:t xml:space="preserve"> (což má vliv na výslednou intenzitu podpory)</w:t>
      </w:r>
      <w:r>
        <w:t>.</w:t>
      </w:r>
    </w:p>
    <w:p w14:paraId="11A8E7B3" w14:textId="0562E962" w:rsidR="007E7F04" w:rsidRDefault="007E7F04" w:rsidP="00B67A23">
      <w:pPr>
        <w:spacing w:after="120"/>
        <w:jc w:val="both"/>
        <w:rPr>
          <w:color w:val="1F1F1F"/>
          <w:shd w:val="clear" w:color="auto" w:fill="93C47D"/>
        </w:rPr>
      </w:pPr>
      <w:r w:rsidRPr="007110AB">
        <w:t xml:space="preserve">Členy odborného poradního orgánu navrhuje gestor </w:t>
      </w:r>
      <w:r w:rsidR="00F72B3A">
        <w:t>P</w:t>
      </w:r>
      <w:r w:rsidRPr="007110AB">
        <w:t>rogramu a</w:t>
      </w:r>
      <w:r w:rsidR="00CE7C79">
        <w:t> </w:t>
      </w:r>
      <w:r w:rsidR="00B67A23">
        <w:t>jsou jimi</w:t>
      </w:r>
      <w:r w:rsidR="00CE7C79">
        <w:t> </w:t>
      </w:r>
      <w:r w:rsidRPr="007110AB">
        <w:t xml:space="preserve">zástupce gestora </w:t>
      </w:r>
      <w:r w:rsidR="00F72B3A">
        <w:t>P</w:t>
      </w:r>
      <w:r w:rsidRPr="007110AB">
        <w:t>rogramu a</w:t>
      </w:r>
      <w:r w:rsidR="00CE7C79">
        <w:t> </w:t>
      </w:r>
      <w:r w:rsidRPr="007110AB">
        <w:t>dále</w:t>
      </w:r>
      <w:r w:rsidR="00B67A23">
        <w:t xml:space="preserve"> především zástupci dalších relevantních rezortů a institucí – Ministerstva</w:t>
      </w:r>
      <w:r w:rsidRPr="007110AB">
        <w:t xml:space="preserve"> životního prostředí, Ministerstva dopravy, </w:t>
      </w:r>
      <w:r w:rsidRPr="007110AB">
        <w:rPr>
          <w:color w:val="1F1F1F"/>
        </w:rPr>
        <w:t>Ministerstva školství, mládeže a</w:t>
      </w:r>
      <w:r w:rsidR="00CE7C79">
        <w:rPr>
          <w:color w:val="1F1F1F"/>
        </w:rPr>
        <w:t> </w:t>
      </w:r>
      <w:r w:rsidRPr="007110AB">
        <w:rPr>
          <w:color w:val="1F1F1F"/>
        </w:rPr>
        <w:t>tělovýchovy</w:t>
      </w:r>
      <w:r w:rsidR="00B67A23">
        <w:rPr>
          <w:color w:val="1F1F1F"/>
        </w:rPr>
        <w:t xml:space="preserve"> a</w:t>
      </w:r>
      <w:r w:rsidRPr="007110AB">
        <w:rPr>
          <w:color w:val="1F1F1F"/>
        </w:rPr>
        <w:t xml:space="preserve"> </w:t>
      </w:r>
      <w:r w:rsidR="00A976E7" w:rsidRPr="007110AB">
        <w:rPr>
          <w:color w:val="1F1F1F"/>
        </w:rPr>
        <w:t xml:space="preserve">Agentury </w:t>
      </w:r>
      <w:r w:rsidRPr="007110AB">
        <w:rPr>
          <w:color w:val="1F1F1F"/>
        </w:rPr>
        <w:t>CzechInvest</w:t>
      </w:r>
      <w:r w:rsidR="00A976E7" w:rsidRPr="007110AB">
        <w:rPr>
          <w:color w:val="1F1F1F"/>
        </w:rPr>
        <w:t>.</w:t>
      </w:r>
    </w:p>
    <w:p w14:paraId="17CD7ED8" w14:textId="77777777" w:rsidR="007E7F04" w:rsidRDefault="007E7F04" w:rsidP="00B67A23">
      <w:pPr>
        <w:spacing w:after="120"/>
        <w:jc w:val="both"/>
        <w:rPr>
          <w:b/>
          <w:u w:val="single"/>
        </w:rPr>
      </w:pPr>
      <w:r>
        <w:rPr>
          <w:b/>
          <w:u w:val="single"/>
        </w:rPr>
        <w:t>Schválení výsledků VS</w:t>
      </w:r>
    </w:p>
    <w:p w14:paraId="7F3D6871" w14:textId="0E7A6462" w:rsidR="00F01337" w:rsidRDefault="007E7F04" w:rsidP="00B67A23">
      <w:pPr>
        <w:spacing w:after="120"/>
        <w:jc w:val="both"/>
      </w:pPr>
      <w:r>
        <w:t xml:space="preserve">Výsledky veřejné soutěže schvaluje předsednictvo na základě doporučení odborného poradního orgánu. </w:t>
      </w:r>
      <w:r w:rsidRPr="007E7F04">
        <w:t>Výstupem jednání předsednictva TA ČR je pořadník sestavený ze všech hodnocených návrhů projektů. Výsledky jsou následně zaslány MPO (předsedovi a</w:t>
      </w:r>
      <w:r w:rsidR="00CE7C79">
        <w:t> </w:t>
      </w:r>
      <w:r w:rsidRPr="007E7F04">
        <w:t xml:space="preserve">místopředsedovi </w:t>
      </w:r>
      <w:r w:rsidR="00B67A23">
        <w:t>Rady programu</w:t>
      </w:r>
      <w:r w:rsidRPr="007E7F04">
        <w:t>) ke schválení a</w:t>
      </w:r>
      <w:r w:rsidR="00CE7C79">
        <w:t> </w:t>
      </w:r>
      <w:r w:rsidRPr="007E7F04">
        <w:t>finálně předloženy předsednictvu TA ČR k</w:t>
      </w:r>
      <w:r w:rsidR="00CE7C79">
        <w:t> </w:t>
      </w:r>
      <w:r w:rsidRPr="007E7F04">
        <w:t>rozhodnutí a</w:t>
      </w:r>
      <w:r w:rsidR="00CE7C79">
        <w:t> </w:t>
      </w:r>
      <w:r w:rsidRPr="007E7F04">
        <w:t>nejpozději</w:t>
      </w:r>
      <w:r>
        <w:t xml:space="preserve"> ve stanoveném termínu vyhlášeny na webových stránkách TA</w:t>
      </w:r>
      <w:r w:rsidR="007110AB">
        <w:t> </w:t>
      </w:r>
      <w:r>
        <w:t>ČR.</w:t>
      </w:r>
    </w:p>
    <w:p w14:paraId="00BCCCAF" w14:textId="27E1663D" w:rsidR="00614BA8" w:rsidRDefault="00614BA8" w:rsidP="00614BA8">
      <w:pPr>
        <w:spacing w:after="120"/>
        <w:jc w:val="both"/>
        <w:rPr>
          <w:b/>
          <w:u w:val="single"/>
        </w:rPr>
      </w:pPr>
      <w:r w:rsidRPr="00050E29">
        <w:rPr>
          <w:b/>
          <w:u w:val="single"/>
        </w:rPr>
        <w:lastRenderedPageBreak/>
        <w:t>Kritéria uplatněná v</w:t>
      </w:r>
      <w:r w:rsidR="00CE7C79">
        <w:rPr>
          <w:b/>
          <w:u w:val="single"/>
        </w:rPr>
        <w:t> </w:t>
      </w:r>
      <w:r w:rsidRPr="00050E29">
        <w:rPr>
          <w:b/>
          <w:u w:val="single"/>
        </w:rPr>
        <w:t xml:space="preserve">odborném hodnocení projektů </w:t>
      </w:r>
    </w:p>
    <w:p w14:paraId="7A28EDBE" w14:textId="5064645C" w:rsidR="00614BA8" w:rsidRDefault="00614BA8" w:rsidP="00614BA8">
      <w:pPr>
        <w:spacing w:after="120"/>
        <w:jc w:val="both"/>
      </w:pPr>
      <w:r w:rsidRPr="007110AB">
        <w:t>Pravidla pro hodnocení jsou transparentně zveřejňována na webu TA ČR k</w:t>
      </w:r>
      <w:r w:rsidR="00CE7C79">
        <w:t> </w:t>
      </w:r>
      <w:r w:rsidRPr="007110AB">
        <w:t>dané soutěži v</w:t>
      </w:r>
      <w:r w:rsidR="00CE7C79">
        <w:t> </w:t>
      </w:r>
      <w:r w:rsidRPr="007110AB">
        <w:t>rámci zadávací dokumentace a</w:t>
      </w:r>
      <w:r w:rsidR="00CE7C79">
        <w:t> </w:t>
      </w:r>
      <w:r w:rsidRPr="007110AB">
        <w:t>zejména její přílohy k</w:t>
      </w:r>
      <w:r w:rsidR="00CE7C79">
        <w:t> </w:t>
      </w:r>
      <w:r w:rsidRPr="007110AB">
        <w:t>hodnoticímu procesu. Pravidla jsou také komunikována s</w:t>
      </w:r>
      <w:r w:rsidR="00CE7C79">
        <w:t> </w:t>
      </w:r>
      <w:r w:rsidRPr="007110AB">
        <w:t>hodnotiteli na dedikovaných seminářích.</w:t>
      </w:r>
    </w:p>
    <w:p w14:paraId="6604FDBC" w14:textId="77777777" w:rsidR="00614BA8" w:rsidRDefault="00614BA8" w:rsidP="00614BA8">
      <w:pPr>
        <w:spacing w:after="120"/>
        <w:jc w:val="both"/>
      </w:pPr>
      <w:r w:rsidRPr="00050E29">
        <w:t xml:space="preserve">Samotný </w:t>
      </w:r>
      <w:r>
        <w:t>text Programu stanoví kritéria, která by měla být obecně uplatněna při hodnocení návrhů projektů, takto:</w:t>
      </w:r>
    </w:p>
    <w:p w14:paraId="6886FCEC" w14:textId="7FF920A3" w:rsidR="00614BA8" w:rsidRDefault="00614BA8" w:rsidP="00614BA8">
      <w:pPr>
        <w:spacing w:after="120"/>
        <w:jc w:val="both"/>
      </w:pPr>
      <w:r>
        <w:t>a) naplnění cílů Programu a</w:t>
      </w:r>
      <w:r w:rsidR="00CE7C79">
        <w:t> </w:t>
      </w:r>
      <w:r>
        <w:t>podprogramu, b) soulad zaměření projektu se stanovenými věcnými prioritami, c) odborná a</w:t>
      </w:r>
      <w:r w:rsidR="00CE7C79">
        <w:t> </w:t>
      </w:r>
      <w:r>
        <w:t xml:space="preserve">ekonomická způsobilost uchazeče, d) </w:t>
      </w:r>
      <w:r w:rsidR="00EA1395">
        <w:t>technicko-ekonomická</w:t>
      </w:r>
      <w:r>
        <w:t xml:space="preserve"> úroveň a</w:t>
      </w:r>
      <w:r w:rsidR="00CE7C79">
        <w:t> </w:t>
      </w:r>
      <w:r>
        <w:t>komplexnost navrhovaného řešení, e) aktuálnost a</w:t>
      </w:r>
      <w:r w:rsidR="00CE7C79">
        <w:t> </w:t>
      </w:r>
      <w:r>
        <w:t>potřebnost projektu a</w:t>
      </w:r>
      <w:r w:rsidR="00CE7C79">
        <w:t> </w:t>
      </w:r>
      <w:r>
        <w:t>vhodnost jeho podpory z</w:t>
      </w:r>
      <w:r w:rsidR="00CE7C79">
        <w:t> </w:t>
      </w:r>
      <w:r>
        <w:t>veřejných prostředků, f) přiměřenost časového plánu a</w:t>
      </w:r>
      <w:r w:rsidR="00CE7C79">
        <w:t> </w:t>
      </w:r>
      <w:r>
        <w:t>finančních požadavků, g) naplnění účinné spolupráce, h) uplatnění výsledků.</w:t>
      </w:r>
    </w:p>
    <w:p w14:paraId="1DA1D70F" w14:textId="0D689B88" w:rsidR="00614BA8" w:rsidRDefault="00614BA8" w:rsidP="00614BA8">
      <w:pPr>
        <w:spacing w:after="120"/>
        <w:jc w:val="both"/>
      </w:pPr>
      <w:r w:rsidRPr="00050E29">
        <w:t xml:space="preserve">Současně </w:t>
      </w:r>
      <w:r>
        <w:t>předpokládá, že kritéria b), c), f) a</w:t>
      </w:r>
      <w:r w:rsidR="00CE7C79">
        <w:t> </w:t>
      </w:r>
      <w:r>
        <w:t>g) budou uplatněna spíše jako binární. Dále pak uvádí Program odlišné oblasti, na které se bude klást důraz v</w:t>
      </w:r>
      <w:r w:rsidR="00CE7C79">
        <w:t> </w:t>
      </w:r>
      <w:r>
        <w:t>bodovém hodnocení projektů v</w:t>
      </w:r>
      <w:r w:rsidR="00CE7C79">
        <w:t> </w:t>
      </w:r>
      <w:r>
        <w:t>obou podprogramech – v</w:t>
      </w:r>
      <w:r w:rsidR="00CE7C79">
        <w:t> </w:t>
      </w:r>
      <w:r>
        <w:t>souladu s</w:t>
      </w:r>
      <w:r w:rsidR="00CE7C79">
        <w:t> </w:t>
      </w:r>
      <w:r>
        <w:t>cíli těchto podprogramů. Zjednodušeně tedy Program předpokládá větší důraz u</w:t>
      </w:r>
      <w:r w:rsidR="00CE7C79">
        <w:t> </w:t>
      </w:r>
      <w:r>
        <w:t>PP1 na</w:t>
      </w:r>
      <w:r w:rsidR="00EA1395">
        <w:t> </w:t>
      </w:r>
      <w:r>
        <w:t>technologickou úroveň výsledků, na prokázání schopnosti uchazeče uplatnit výsledky v</w:t>
      </w:r>
      <w:r w:rsidR="00CE7C79">
        <w:t> </w:t>
      </w:r>
      <w:r>
        <w:t>praxi, na</w:t>
      </w:r>
      <w:r w:rsidR="00EA1395">
        <w:t> </w:t>
      </w:r>
      <w:r>
        <w:t>ekonomické přínosy z</w:t>
      </w:r>
      <w:r w:rsidR="00CE7C79">
        <w:t> </w:t>
      </w:r>
      <w:r>
        <w:t>uplatnění těchto výsledků, a</w:t>
      </w:r>
      <w:r w:rsidR="00CE7C79">
        <w:t> </w:t>
      </w:r>
      <w:r>
        <w:t>to i</w:t>
      </w:r>
      <w:r w:rsidR="00CE7C79">
        <w:t> </w:t>
      </w:r>
      <w:r>
        <w:t>v širším kontextu dlouhodobé strategie podniku. Naopak u</w:t>
      </w:r>
      <w:r w:rsidR="00CE7C79">
        <w:t> </w:t>
      </w:r>
      <w:r>
        <w:t>PP2 bude na tyto oblasti kladen o</w:t>
      </w:r>
      <w:r w:rsidR="00CE7C79">
        <w:t> </w:t>
      </w:r>
      <w:r>
        <w:t>něco menší důraz a</w:t>
      </w:r>
      <w:r w:rsidR="00CE7C79">
        <w:t> </w:t>
      </w:r>
      <w:r>
        <w:t>hodnoticí kritéria by měla navíc zohlednit přínosy ze spolupráce podniků a</w:t>
      </w:r>
      <w:r w:rsidR="00CE7C79">
        <w:t> </w:t>
      </w:r>
      <w:r>
        <w:t>VO, a</w:t>
      </w:r>
      <w:r w:rsidR="00CE7C79">
        <w:t> </w:t>
      </w:r>
      <w:r>
        <w:t>to i</w:t>
      </w:r>
      <w:r w:rsidR="00CE7C79">
        <w:t> </w:t>
      </w:r>
      <w:r>
        <w:t>v jejich dlouhodobější perspektivě.</w:t>
      </w:r>
    </w:p>
    <w:p w14:paraId="64C40E73" w14:textId="1AB38C57" w:rsidR="00614BA8" w:rsidRPr="00050E29" w:rsidRDefault="00614BA8" w:rsidP="00614BA8">
      <w:pPr>
        <w:spacing w:after="120"/>
        <w:jc w:val="both"/>
      </w:pPr>
      <w:r>
        <w:t>V praxi byla kritéria upřesněna vždy ve vyhlášení příslušné veřejné soutěže. Pro ilustraci je uvedeno znění kritérií z</w:t>
      </w:r>
      <w:r w:rsidR="00CE7C79">
        <w:t> </w:t>
      </w:r>
      <w:r>
        <w:t xml:space="preserve">první soutěže </w:t>
      </w:r>
      <w:r w:rsidR="00F72B3A">
        <w:t>P</w:t>
      </w:r>
      <w:r>
        <w:t>rogramu, vyhlášené v</w:t>
      </w:r>
      <w:r w:rsidR="00CE7C79">
        <w:t> </w:t>
      </w:r>
      <w:r>
        <w:t>podprogramu Lídři, níže pak je uveden stručný komentář k</w:t>
      </w:r>
      <w:r w:rsidR="00CE7C79">
        <w:t> </w:t>
      </w:r>
      <w:r>
        <w:t>odlišnostem v</w:t>
      </w:r>
      <w:r w:rsidR="00CE7C79">
        <w:t> </w:t>
      </w:r>
      <w:r>
        <w:t>dalších soutěžích:</w:t>
      </w:r>
    </w:p>
    <w:p w14:paraId="506B2DDD" w14:textId="77777777" w:rsidR="00614BA8" w:rsidRDefault="00614BA8" w:rsidP="00614BA8">
      <w:pPr>
        <w:numPr>
          <w:ilvl w:val="0"/>
          <w:numId w:val="22"/>
        </w:numPr>
        <w:pBdr>
          <w:top w:val="nil"/>
          <w:left w:val="nil"/>
          <w:bottom w:val="nil"/>
          <w:right w:val="nil"/>
          <w:between w:val="nil"/>
        </w:pBdr>
        <w:spacing w:after="120"/>
        <w:jc w:val="both"/>
        <w:rPr>
          <w:b/>
          <w:color w:val="000000"/>
        </w:rPr>
      </w:pPr>
      <w:r>
        <w:rPr>
          <w:rFonts w:ascii="Calibri" w:eastAsia="Calibri" w:hAnsi="Calibri" w:cs="Calibri"/>
          <w:b/>
          <w:color w:val="000000"/>
        </w:rPr>
        <w:t>Binární kritéria 1. VS TREND:</w:t>
      </w:r>
    </w:p>
    <w:p w14:paraId="3ACB5A31" w14:textId="3838D9C0"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1. Jedná se o</w:t>
      </w:r>
      <w:r w:rsidR="00CE7C79" w:rsidRPr="00EA1395">
        <w:rPr>
          <w:i/>
        </w:rPr>
        <w:t> </w:t>
      </w:r>
      <w:r w:rsidRPr="00EA1395">
        <w:rPr>
          <w:i/>
        </w:rPr>
        <w:t>projekt výzkumu a</w:t>
      </w:r>
      <w:r w:rsidR="00CE7C79" w:rsidRPr="00EA1395">
        <w:rPr>
          <w:i/>
        </w:rPr>
        <w:t> </w:t>
      </w:r>
      <w:r w:rsidRPr="00EA1395">
        <w:rPr>
          <w:i/>
        </w:rPr>
        <w:t>vývoje, všechny činnosti a</w:t>
      </w:r>
      <w:r w:rsidR="00CE7C79" w:rsidRPr="00EA1395">
        <w:rPr>
          <w:i/>
        </w:rPr>
        <w:t> </w:t>
      </w:r>
      <w:r w:rsidRPr="00EA1395">
        <w:rPr>
          <w:i/>
        </w:rPr>
        <w:t>způsobilé náklady jsou jednoznačně přiřazeny ke</w:t>
      </w:r>
      <w:r w:rsidR="00EA1395">
        <w:rPr>
          <w:i/>
        </w:rPr>
        <w:t> </w:t>
      </w:r>
      <w:r w:rsidRPr="00EA1395">
        <w:rPr>
          <w:i/>
        </w:rPr>
        <w:t>kategoriím průmyslový výzkum nebo experimentální vývoj podle Nařízení. Řešení a</w:t>
      </w:r>
      <w:r w:rsidR="00CE7C79" w:rsidRPr="00EA1395">
        <w:rPr>
          <w:i/>
        </w:rPr>
        <w:t> </w:t>
      </w:r>
      <w:r w:rsidRPr="00EA1395">
        <w:rPr>
          <w:i/>
        </w:rPr>
        <w:t xml:space="preserve">očekávané výsledky mají charakter novosti. </w:t>
      </w:r>
    </w:p>
    <w:p w14:paraId="264FDAA6" w14:textId="31FF4A8D"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2. Návrh projektu splňuje základní podmínky veřejné soutěže, především jeho cíl je v</w:t>
      </w:r>
      <w:r w:rsidR="00CE7C79" w:rsidRPr="00EA1395">
        <w:rPr>
          <w:i/>
        </w:rPr>
        <w:t> </w:t>
      </w:r>
      <w:r w:rsidRPr="00EA1395">
        <w:rPr>
          <w:i/>
        </w:rPr>
        <w:t>souladu se zaměřením Programu a</w:t>
      </w:r>
      <w:r w:rsidR="00CE7C79" w:rsidRPr="00EA1395">
        <w:rPr>
          <w:i/>
        </w:rPr>
        <w:t> </w:t>
      </w:r>
      <w:r w:rsidRPr="00EA1395">
        <w:rPr>
          <w:i/>
        </w:rPr>
        <w:t>způsobilé náklady na řešení projektu jsou podrobně rozepsány a</w:t>
      </w:r>
      <w:r w:rsidR="00CE7C79" w:rsidRPr="00EA1395">
        <w:rPr>
          <w:i/>
        </w:rPr>
        <w:t> </w:t>
      </w:r>
      <w:r w:rsidRPr="00EA1395">
        <w:rPr>
          <w:i/>
        </w:rPr>
        <w:t xml:space="preserve">zdůvodněny. </w:t>
      </w:r>
    </w:p>
    <w:p w14:paraId="6083EBC4" w14:textId="1C835953"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3. Obsah návrhu projektu (ani jeho část) není a</w:t>
      </w:r>
      <w:r w:rsidR="00CE7C79" w:rsidRPr="00EA1395">
        <w:rPr>
          <w:i/>
        </w:rPr>
        <w:t> </w:t>
      </w:r>
      <w:r w:rsidRPr="00EA1395">
        <w:rPr>
          <w:i/>
        </w:rPr>
        <w:t>nebyl předmětem jiného projektu řešeného v</w:t>
      </w:r>
      <w:r w:rsidR="00CE7C79" w:rsidRPr="00EA1395">
        <w:rPr>
          <w:i/>
        </w:rPr>
        <w:t> </w:t>
      </w:r>
      <w:r w:rsidRPr="00EA1395">
        <w:rPr>
          <w:i/>
        </w:rPr>
        <w:t>rámci Programu (ani navrženého k</w:t>
      </w:r>
      <w:r w:rsidR="00CE7C79" w:rsidRPr="00EA1395">
        <w:rPr>
          <w:i/>
        </w:rPr>
        <w:t> </w:t>
      </w:r>
      <w:r w:rsidRPr="00EA1395">
        <w:rPr>
          <w:i/>
        </w:rPr>
        <w:t>podpoře v</w:t>
      </w:r>
      <w:r w:rsidR="00CE7C79" w:rsidRPr="00EA1395">
        <w:rPr>
          <w:i/>
        </w:rPr>
        <w:t> </w:t>
      </w:r>
      <w:r w:rsidRPr="00EA1395">
        <w:rPr>
          <w:i/>
        </w:rPr>
        <w:t>této veřejné soutěži) nebo jiné aktivity výzkumu, vývoje a</w:t>
      </w:r>
      <w:r w:rsidR="00CE7C79" w:rsidRPr="00EA1395">
        <w:rPr>
          <w:i/>
        </w:rPr>
        <w:t> </w:t>
      </w:r>
      <w:r w:rsidRPr="00EA1395">
        <w:rPr>
          <w:i/>
        </w:rPr>
        <w:t>inovací, podpořené z</w:t>
      </w:r>
      <w:r w:rsidR="00CE7C79" w:rsidRPr="00EA1395">
        <w:rPr>
          <w:i/>
        </w:rPr>
        <w:t> </w:t>
      </w:r>
      <w:r w:rsidRPr="00EA1395">
        <w:rPr>
          <w:i/>
        </w:rPr>
        <w:t xml:space="preserve">veřejných zdrojů. </w:t>
      </w:r>
    </w:p>
    <w:p w14:paraId="3FF8B9C3" w14:textId="70FE0DC7"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4. Uchazeči prokazují dostatečnou ekonomickou i</w:t>
      </w:r>
      <w:r w:rsidR="00CE7C79" w:rsidRPr="00EA1395">
        <w:rPr>
          <w:i/>
        </w:rPr>
        <w:t> </w:t>
      </w:r>
      <w:r w:rsidRPr="00EA1395">
        <w:rPr>
          <w:i/>
        </w:rPr>
        <w:t>odbornou způsobilost pro zajištění řešení projektu (zkráceno)</w:t>
      </w:r>
    </w:p>
    <w:p w14:paraId="43FB3579" w14:textId="5D611C56"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5. Návrh projektu naplňuje alespoň jeden z</w:t>
      </w:r>
      <w:r w:rsidR="00CE7C79" w:rsidRPr="00EA1395">
        <w:rPr>
          <w:i/>
        </w:rPr>
        <w:t> </w:t>
      </w:r>
      <w:r w:rsidRPr="00EA1395">
        <w:rPr>
          <w:i/>
        </w:rPr>
        <w:t>vybraných cílů Národních priorit orientovaného výzkumu, experimentálního vývoje a</w:t>
      </w:r>
      <w:r w:rsidR="00CE7C79" w:rsidRPr="00EA1395">
        <w:rPr>
          <w:i/>
        </w:rPr>
        <w:t> </w:t>
      </w:r>
      <w:r w:rsidRPr="00EA1395">
        <w:rPr>
          <w:i/>
        </w:rPr>
        <w:t xml:space="preserve">inovací, které byly přijaty usnesením vlády ze dne 19. července 2012 č. 552. </w:t>
      </w:r>
    </w:p>
    <w:p w14:paraId="173F2F50" w14:textId="0B6C486A" w:rsidR="00614BA8" w:rsidRPr="00EA1395"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6. Projekt není zaměřen na realizaci takových činností, které jsou vyžadovány právními předpisy či jinými regulativy a</w:t>
      </w:r>
      <w:r w:rsidR="00CE7C79" w:rsidRPr="00EA1395">
        <w:rPr>
          <w:i/>
        </w:rPr>
        <w:t> </w:t>
      </w:r>
      <w:r w:rsidRPr="00EA1395">
        <w:rPr>
          <w:i/>
        </w:rPr>
        <w:t>uchazeč by je musel realizovat v</w:t>
      </w:r>
      <w:r w:rsidR="00CE7C79" w:rsidRPr="00EA1395">
        <w:rPr>
          <w:i/>
        </w:rPr>
        <w:t> </w:t>
      </w:r>
      <w:r w:rsidRPr="00EA1395">
        <w:rPr>
          <w:i/>
        </w:rPr>
        <w:t>každém případě (tedy i</w:t>
      </w:r>
      <w:r w:rsidR="00CE7C79" w:rsidRPr="00EA1395">
        <w:rPr>
          <w:i/>
        </w:rPr>
        <w:t> </w:t>
      </w:r>
      <w:r w:rsidRPr="00EA1395">
        <w:rPr>
          <w:i/>
        </w:rPr>
        <w:t xml:space="preserve">bez poskytnutí podpory). </w:t>
      </w:r>
    </w:p>
    <w:p w14:paraId="6E06C70F" w14:textId="77777777" w:rsidR="00614BA8" w:rsidRPr="00AE354B" w:rsidRDefault="00614BA8" w:rsidP="00EA1395">
      <w:pPr>
        <w:pBdr>
          <w:top w:val="single" w:sz="4" w:space="1" w:color="auto"/>
          <w:left w:val="single" w:sz="4" w:space="4" w:color="auto"/>
          <w:bottom w:val="single" w:sz="4" w:space="1" w:color="auto"/>
          <w:right w:val="single" w:sz="4" w:space="4" w:color="auto"/>
        </w:pBdr>
        <w:spacing w:after="120"/>
        <w:jc w:val="both"/>
        <w:rPr>
          <w:i/>
        </w:rPr>
      </w:pPr>
      <w:r w:rsidRPr="00EA1395">
        <w:rPr>
          <w:i/>
        </w:rPr>
        <w:t>7. Lze předpokládat dosažení dostatečného motivačního účinku podpory ve smyslu Nařízení.</w:t>
      </w:r>
    </w:p>
    <w:p w14:paraId="150F70BB" w14:textId="5246A412" w:rsidR="00614BA8" w:rsidRDefault="008A4DC4" w:rsidP="008A4DC4">
      <w:pPr>
        <w:spacing w:before="240" w:after="120"/>
        <w:jc w:val="both"/>
        <w:rPr>
          <w:color w:val="000000"/>
        </w:rPr>
      </w:pPr>
      <w:r>
        <w:rPr>
          <w:color w:val="000000"/>
        </w:rPr>
        <w:t>B</w:t>
      </w:r>
      <w:r w:rsidR="00614BA8">
        <w:rPr>
          <w:color w:val="000000"/>
        </w:rPr>
        <w:t>inární kritéria tak byla formulována v</w:t>
      </w:r>
      <w:r w:rsidR="00CE7C79">
        <w:rPr>
          <w:color w:val="000000"/>
        </w:rPr>
        <w:t> </w:t>
      </w:r>
      <w:r w:rsidR="00614BA8">
        <w:rPr>
          <w:color w:val="000000"/>
        </w:rPr>
        <w:t>souladu s</w:t>
      </w:r>
      <w:r w:rsidR="00CE7C79">
        <w:rPr>
          <w:color w:val="000000"/>
        </w:rPr>
        <w:t> </w:t>
      </w:r>
      <w:r w:rsidR="00614BA8">
        <w:rPr>
          <w:color w:val="000000"/>
        </w:rPr>
        <w:t>Programem, ale kritérium časové a</w:t>
      </w:r>
      <w:r w:rsidR="00CE7C79">
        <w:rPr>
          <w:color w:val="000000"/>
        </w:rPr>
        <w:t> </w:t>
      </w:r>
      <w:r w:rsidR="00614BA8">
        <w:rPr>
          <w:color w:val="000000"/>
        </w:rPr>
        <w:t xml:space="preserve">finanční přiměřenosti bylo proti původnímu předpokladu zařazeno mezi kritéria bodovaná, viz níže. </w:t>
      </w:r>
    </w:p>
    <w:p w14:paraId="0C64672A" w14:textId="1233534E" w:rsidR="00614BA8" w:rsidRDefault="00614BA8" w:rsidP="00614BA8">
      <w:pPr>
        <w:spacing w:after="120"/>
        <w:jc w:val="both"/>
        <w:rPr>
          <w:color w:val="000000"/>
        </w:rPr>
      </w:pPr>
      <w:r>
        <w:rPr>
          <w:color w:val="000000"/>
        </w:rPr>
        <w:lastRenderedPageBreak/>
        <w:t>Pro PP2 byla textace druhého binárního kritéria doplněna o</w:t>
      </w:r>
      <w:r w:rsidR="00CE7C79">
        <w:rPr>
          <w:color w:val="000000"/>
        </w:rPr>
        <w:t> </w:t>
      </w:r>
      <w:r>
        <w:rPr>
          <w:color w:val="000000"/>
        </w:rPr>
        <w:t>požadavek na charakter spolupráce zapojené výzkumné organizace, kdy s</w:t>
      </w:r>
      <w:r w:rsidR="00CE7C79">
        <w:rPr>
          <w:color w:val="000000"/>
        </w:rPr>
        <w:t> </w:t>
      </w:r>
      <w:r>
        <w:rPr>
          <w:color w:val="000000"/>
        </w:rPr>
        <w:t>ohledem na předpokládanou úlohu jakéhosi „gestora kvality“ (subjektu zkušenějšího ve VaV) byl požadován kolaborativní výzkum, nikoliv zapojení VO pouze formou výzkumu smluvního.</w:t>
      </w:r>
    </w:p>
    <w:p w14:paraId="02D676B3" w14:textId="77C2F394" w:rsidR="00614BA8" w:rsidRDefault="00614BA8" w:rsidP="00614BA8">
      <w:pPr>
        <w:spacing w:after="120"/>
        <w:jc w:val="both"/>
        <w:rPr>
          <w:color w:val="000000"/>
        </w:rPr>
      </w:pPr>
      <w:r>
        <w:rPr>
          <w:color w:val="000000"/>
        </w:rPr>
        <w:t>V průběhu implementace Programu, tedy mezi vyhlašováním jednotlivých soutěží, docházelo k</w:t>
      </w:r>
      <w:r w:rsidR="00CE7C79">
        <w:rPr>
          <w:color w:val="000000"/>
        </w:rPr>
        <w:t> </w:t>
      </w:r>
      <w:r>
        <w:rPr>
          <w:color w:val="000000"/>
        </w:rPr>
        <w:t>menším úpravám / doplněním binárních kritérií, a</w:t>
      </w:r>
      <w:r w:rsidR="00CE7C79">
        <w:rPr>
          <w:color w:val="000000"/>
        </w:rPr>
        <w:t> </w:t>
      </w:r>
      <w:r>
        <w:rPr>
          <w:color w:val="000000"/>
        </w:rPr>
        <w:t>to především o</w:t>
      </w:r>
      <w:r w:rsidR="00CE7C79">
        <w:rPr>
          <w:color w:val="000000"/>
        </w:rPr>
        <w:t> </w:t>
      </w:r>
      <w:r>
        <w:rPr>
          <w:color w:val="000000"/>
        </w:rPr>
        <w:t>požadavek na ekonomickou racionalitu projektu (</w:t>
      </w:r>
      <w:r w:rsidRPr="00074152">
        <w:rPr>
          <w:i/>
          <w:color w:val="000000"/>
        </w:rPr>
        <w:t>plánované ekonomické přínosy se musí alespoň rovnat plánovaným způsobilým nákladům projektu</w:t>
      </w:r>
      <w:r>
        <w:rPr>
          <w:color w:val="000000"/>
        </w:rPr>
        <w:t>) ve druhé soutěži každého z</w:t>
      </w:r>
      <w:r w:rsidR="00CE7C79">
        <w:rPr>
          <w:color w:val="000000"/>
        </w:rPr>
        <w:t> </w:t>
      </w:r>
      <w:r>
        <w:rPr>
          <w:color w:val="000000"/>
        </w:rPr>
        <w:t>podprogramů, dále o</w:t>
      </w:r>
      <w:r w:rsidR="00CE7C79">
        <w:rPr>
          <w:color w:val="000000"/>
        </w:rPr>
        <w:t> </w:t>
      </w:r>
      <w:r>
        <w:rPr>
          <w:color w:val="000000"/>
        </w:rPr>
        <w:t>požadavek na plnění principu DNSH (</w:t>
      </w:r>
      <w:r w:rsidRPr="0076099F">
        <w:rPr>
          <w:i/>
          <w:color w:val="000000"/>
        </w:rPr>
        <w:t>do not significant harm ve</w:t>
      </w:r>
      <w:r w:rsidR="00EA1395">
        <w:rPr>
          <w:i/>
          <w:color w:val="000000"/>
        </w:rPr>
        <w:t> </w:t>
      </w:r>
      <w:r w:rsidRPr="0076099F">
        <w:rPr>
          <w:i/>
          <w:color w:val="000000"/>
        </w:rPr>
        <w:t>smyslu podmínek Národního plánu obnovy ČR</w:t>
      </w:r>
      <w:r>
        <w:rPr>
          <w:color w:val="000000"/>
        </w:rPr>
        <w:t>) u</w:t>
      </w:r>
      <w:r w:rsidR="00CE7C79">
        <w:rPr>
          <w:color w:val="000000"/>
        </w:rPr>
        <w:t> </w:t>
      </w:r>
      <w:r w:rsidR="00EA1395">
        <w:rPr>
          <w:color w:val="000000"/>
        </w:rPr>
        <w:t>10. VS</w:t>
      </w:r>
      <w:r>
        <w:rPr>
          <w:color w:val="000000"/>
        </w:rPr>
        <w:t xml:space="preserve"> a</w:t>
      </w:r>
      <w:r w:rsidR="00CE7C79">
        <w:rPr>
          <w:color w:val="000000"/>
        </w:rPr>
        <w:t> </w:t>
      </w:r>
      <w:r>
        <w:rPr>
          <w:color w:val="000000"/>
        </w:rPr>
        <w:t>ještě předtím u</w:t>
      </w:r>
      <w:r w:rsidR="00CE7C79">
        <w:rPr>
          <w:color w:val="000000"/>
        </w:rPr>
        <w:t> </w:t>
      </w:r>
      <w:r>
        <w:rPr>
          <w:color w:val="000000"/>
        </w:rPr>
        <w:t>specifických soutěží č.7 a</w:t>
      </w:r>
      <w:r w:rsidR="00CE7C79">
        <w:rPr>
          <w:color w:val="000000"/>
        </w:rPr>
        <w:t> </w:t>
      </w:r>
      <w:r>
        <w:rPr>
          <w:color w:val="000000"/>
        </w:rPr>
        <w:t>8 zaměřených na projekty s</w:t>
      </w:r>
      <w:r w:rsidR="00CE7C79">
        <w:rPr>
          <w:color w:val="000000"/>
        </w:rPr>
        <w:t> </w:t>
      </w:r>
      <w:r>
        <w:rPr>
          <w:color w:val="000000"/>
        </w:rPr>
        <w:t>využitím tzv. 5G sítí – u</w:t>
      </w:r>
      <w:r w:rsidR="00CE7C79">
        <w:rPr>
          <w:color w:val="000000"/>
        </w:rPr>
        <w:t> </w:t>
      </w:r>
      <w:r>
        <w:rPr>
          <w:color w:val="000000"/>
        </w:rPr>
        <w:t>těchto dvou soutěží pak právě jejich úzké věcné zaměření bylo předmětem dalšího doplněného binárního kritéria.</w:t>
      </w:r>
    </w:p>
    <w:p w14:paraId="78946C98" w14:textId="3AB94E20" w:rsidR="00614BA8" w:rsidRPr="003C32DB" w:rsidRDefault="00614BA8" w:rsidP="00614BA8">
      <w:pPr>
        <w:spacing w:after="120"/>
        <w:jc w:val="both"/>
        <w:rPr>
          <w:color w:val="000000"/>
        </w:rPr>
      </w:pPr>
      <w:r>
        <w:rPr>
          <w:color w:val="000000"/>
        </w:rPr>
        <w:t>Drobně se lišilo také například začlenění hodnocení vazby na znalostní domény (KETs), domény specializace či jiné prioritní oblasti národní RIS3 strategie, včetně odkazu na postupně aktualizované dokumenty samotné RIS3. Kromě začlenění mezi kritéria binární (buď v</w:t>
      </w:r>
      <w:r w:rsidR="00CE7C79">
        <w:rPr>
          <w:color w:val="000000"/>
        </w:rPr>
        <w:t> </w:t>
      </w:r>
      <w:r>
        <w:rPr>
          <w:color w:val="000000"/>
        </w:rPr>
        <w:t>rámci zaměření Programu, nebo samostatně) byla vazba na RIS3 strategii také součástí bodovaných kritérií a</w:t>
      </w:r>
      <w:r w:rsidR="00CE7C79">
        <w:rPr>
          <w:color w:val="000000"/>
        </w:rPr>
        <w:t> </w:t>
      </w:r>
      <w:r>
        <w:rPr>
          <w:color w:val="000000"/>
        </w:rPr>
        <w:t>v posledních dvou vyhlášených soutěžích (10. a</w:t>
      </w:r>
      <w:r w:rsidR="00CE7C79">
        <w:rPr>
          <w:color w:val="000000"/>
        </w:rPr>
        <w:t> </w:t>
      </w:r>
      <w:r>
        <w:rPr>
          <w:color w:val="000000"/>
        </w:rPr>
        <w:t>11.VS) byla dále vazba na cíl mise národní RIS3 strategie ohodnocena kritériem bonifikačním, viz níže.</w:t>
      </w:r>
    </w:p>
    <w:p w14:paraId="7116EC91" w14:textId="77777777" w:rsidR="00614BA8" w:rsidRPr="003C32DB" w:rsidRDefault="00614BA8" w:rsidP="00614BA8">
      <w:pPr>
        <w:numPr>
          <w:ilvl w:val="0"/>
          <w:numId w:val="21"/>
        </w:numPr>
        <w:pBdr>
          <w:top w:val="nil"/>
          <w:left w:val="nil"/>
          <w:bottom w:val="nil"/>
          <w:right w:val="nil"/>
          <w:between w:val="nil"/>
        </w:pBdr>
        <w:spacing w:after="120"/>
        <w:jc w:val="both"/>
        <w:rPr>
          <w:b/>
          <w:color w:val="000000"/>
        </w:rPr>
      </w:pPr>
      <w:r>
        <w:rPr>
          <w:rFonts w:ascii="Calibri" w:eastAsia="Calibri" w:hAnsi="Calibri" w:cs="Calibri"/>
          <w:b/>
          <w:color w:val="000000"/>
        </w:rPr>
        <w:t>Bodovaná kritéria 1.VS TREND:</w:t>
      </w:r>
    </w:p>
    <w:p w14:paraId="177E766E" w14:textId="3F620594" w:rsidR="00614BA8" w:rsidRPr="00B6554C"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B6554C">
        <w:rPr>
          <w:b/>
          <w:i/>
        </w:rPr>
        <w:t xml:space="preserve">1. Naplnění cílů </w:t>
      </w:r>
      <w:r w:rsidR="00F72B3A">
        <w:rPr>
          <w:b/>
          <w:i/>
        </w:rPr>
        <w:t>p</w:t>
      </w:r>
      <w:r w:rsidRPr="00B6554C">
        <w:rPr>
          <w:b/>
          <w:i/>
        </w:rPr>
        <w:t xml:space="preserve">rogramu TREND (max. 10 bodů) </w:t>
      </w:r>
    </w:p>
    <w:p w14:paraId="3EE68563" w14:textId="1E0D3E17" w:rsidR="00614BA8" w:rsidRPr="00B6554C" w:rsidRDefault="00EA1395" w:rsidP="00EA1395">
      <w:pPr>
        <w:pBdr>
          <w:top w:val="single" w:sz="4" w:space="1" w:color="auto"/>
          <w:left w:val="single" w:sz="4" w:space="4" w:color="auto"/>
          <w:bottom w:val="single" w:sz="4" w:space="1" w:color="auto"/>
          <w:right w:val="single" w:sz="4" w:space="4" w:color="auto"/>
        </w:pBdr>
        <w:spacing w:after="120"/>
        <w:jc w:val="both"/>
        <w:rPr>
          <w:i/>
        </w:rPr>
      </w:pPr>
      <w:r>
        <w:rPr>
          <w:i/>
        </w:rPr>
        <w:t>předepsáno několik aspektů hodnocení</w:t>
      </w:r>
      <w:r w:rsidR="00B976C0">
        <w:rPr>
          <w:i/>
        </w:rPr>
        <w:t xml:space="preserve">: </w:t>
      </w:r>
      <w:r>
        <w:rPr>
          <w:i/>
        </w:rPr>
        <w:t>r</w:t>
      </w:r>
      <w:r w:rsidR="00614BA8" w:rsidRPr="00B6554C">
        <w:rPr>
          <w:i/>
        </w:rPr>
        <w:t>ealizace projektu přispěje ke zvýšení mezinárodní konkurenceschopnosti příjemce</w:t>
      </w:r>
      <w:r>
        <w:rPr>
          <w:i/>
        </w:rPr>
        <w:t>, j</w:t>
      </w:r>
      <w:r w:rsidR="00614BA8" w:rsidRPr="00B6554C">
        <w:rPr>
          <w:i/>
        </w:rPr>
        <w:t>e dostatečně doložen způsob zavedení hlavního výsledku projektu do praxe</w:t>
      </w:r>
      <w:r>
        <w:rPr>
          <w:i/>
        </w:rPr>
        <w:t>, i</w:t>
      </w:r>
      <w:r w:rsidR="00614BA8" w:rsidRPr="00B6554C">
        <w:rPr>
          <w:i/>
        </w:rPr>
        <w:t>mplementace výsledku příjemci přinese rozšíření trhů v</w:t>
      </w:r>
      <w:r w:rsidR="00CE7C79">
        <w:rPr>
          <w:i/>
        </w:rPr>
        <w:t> </w:t>
      </w:r>
      <w:r w:rsidR="00614BA8" w:rsidRPr="00B6554C">
        <w:rPr>
          <w:i/>
        </w:rPr>
        <w:t>zahraničí, proniknutí na nové trhy či posun výše v</w:t>
      </w:r>
      <w:r w:rsidR="00CE7C79">
        <w:rPr>
          <w:i/>
        </w:rPr>
        <w:t> </w:t>
      </w:r>
      <w:r w:rsidR="00614BA8" w:rsidRPr="00B6554C">
        <w:rPr>
          <w:i/>
        </w:rPr>
        <w:t>globálních hodnotových řetězcích</w:t>
      </w:r>
      <w:r>
        <w:rPr>
          <w:i/>
        </w:rPr>
        <w:t>, p</w:t>
      </w:r>
      <w:r w:rsidR="00614BA8" w:rsidRPr="00B6554C">
        <w:rPr>
          <w:i/>
        </w:rPr>
        <w:t>rojekt je zaměřen do aplikačního odvětví Národní RIS3 strategie</w:t>
      </w:r>
    </w:p>
    <w:p w14:paraId="2C97F604" w14:textId="77777777" w:rsidR="00614BA8" w:rsidRPr="00B6554C"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B6554C">
        <w:rPr>
          <w:b/>
          <w:i/>
        </w:rPr>
        <w:t xml:space="preserve">2. Užitné (technické) parametry výsledku (max. 15 bodů) </w:t>
      </w:r>
    </w:p>
    <w:p w14:paraId="5EAF45FD" w14:textId="14B57233" w:rsidR="00614BA8" w:rsidRPr="003D113D" w:rsidRDefault="00EA1395" w:rsidP="00EA1395">
      <w:pPr>
        <w:pBdr>
          <w:top w:val="single" w:sz="4" w:space="1" w:color="auto"/>
          <w:left w:val="single" w:sz="4" w:space="4" w:color="auto"/>
          <w:bottom w:val="single" w:sz="4" w:space="1" w:color="auto"/>
          <w:right w:val="single" w:sz="4" w:space="4" w:color="auto"/>
        </w:pBdr>
        <w:tabs>
          <w:tab w:val="right" w:leader="dot" w:pos="8505"/>
        </w:tabs>
        <w:spacing w:after="120"/>
        <w:jc w:val="both"/>
        <w:rPr>
          <w:i/>
        </w:rPr>
      </w:pPr>
      <w:r>
        <w:rPr>
          <w:i/>
        </w:rPr>
        <w:t>předepsána úroveň naplnění kritéria od 0 b. (</w:t>
      </w:r>
      <w:r w:rsidR="00614BA8" w:rsidRPr="00B6554C">
        <w:rPr>
          <w:i/>
        </w:rPr>
        <w:t>parametry uvedeny</w:t>
      </w:r>
      <w:r>
        <w:rPr>
          <w:i/>
        </w:rPr>
        <w:t>) po 15 b. (</w:t>
      </w:r>
      <w:r w:rsidR="00614BA8" w:rsidRPr="00B6554C">
        <w:rPr>
          <w:i/>
        </w:rPr>
        <w:t>překračuje technické parametry známých řešení či nemá srovnání</w:t>
      </w:r>
      <w:r w:rsidR="00B976C0">
        <w:rPr>
          <w:i/>
        </w:rPr>
        <w:t>)</w:t>
      </w:r>
    </w:p>
    <w:p w14:paraId="051CF546" w14:textId="5AD972AC" w:rsidR="00614BA8" w:rsidRPr="003D113D"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3D113D">
        <w:rPr>
          <w:b/>
          <w:i/>
        </w:rPr>
        <w:t>3. Prokázání znalosti řešení analogických problémů v</w:t>
      </w:r>
      <w:r w:rsidR="00CE7C79">
        <w:rPr>
          <w:b/>
          <w:i/>
        </w:rPr>
        <w:t> </w:t>
      </w:r>
      <w:r w:rsidRPr="003D113D">
        <w:rPr>
          <w:b/>
          <w:i/>
        </w:rPr>
        <w:t>ČR i</w:t>
      </w:r>
      <w:r w:rsidR="00CE7C79">
        <w:rPr>
          <w:b/>
          <w:i/>
        </w:rPr>
        <w:t> </w:t>
      </w:r>
      <w:r w:rsidRPr="003D113D">
        <w:rPr>
          <w:b/>
          <w:i/>
        </w:rPr>
        <w:t xml:space="preserve">v zahraničí (max. 10 bodů) </w:t>
      </w:r>
    </w:p>
    <w:p w14:paraId="1128DC2D" w14:textId="7739E5CF" w:rsidR="00614BA8" w:rsidRPr="00B6554C" w:rsidRDefault="00EA1395" w:rsidP="00EA1395">
      <w:pPr>
        <w:pBdr>
          <w:top w:val="single" w:sz="4" w:space="1" w:color="auto"/>
          <w:left w:val="single" w:sz="4" w:space="4" w:color="auto"/>
          <w:bottom w:val="single" w:sz="4" w:space="1" w:color="auto"/>
          <w:right w:val="single" w:sz="4" w:space="4" w:color="auto"/>
        </w:pBdr>
        <w:tabs>
          <w:tab w:val="right" w:leader="dot" w:pos="8505"/>
        </w:tabs>
        <w:spacing w:after="120"/>
        <w:jc w:val="both"/>
        <w:rPr>
          <w:i/>
        </w:rPr>
      </w:pPr>
      <w:r>
        <w:rPr>
          <w:i/>
        </w:rPr>
        <w:t xml:space="preserve">předepsána dvě podkritéria: </w:t>
      </w:r>
      <w:r w:rsidR="00614BA8" w:rsidRPr="003D113D">
        <w:rPr>
          <w:i/>
        </w:rPr>
        <w:t xml:space="preserve">znalost současného stavu poznání </w:t>
      </w:r>
      <w:r>
        <w:rPr>
          <w:i/>
        </w:rPr>
        <w:t>(</w:t>
      </w:r>
      <w:r w:rsidR="00614BA8" w:rsidRPr="003D113D">
        <w:rPr>
          <w:i/>
        </w:rPr>
        <w:t>5 b.</w:t>
      </w:r>
      <w:r>
        <w:rPr>
          <w:i/>
        </w:rPr>
        <w:t xml:space="preserve">) a </w:t>
      </w:r>
      <w:r w:rsidR="00614BA8" w:rsidRPr="00B6554C">
        <w:rPr>
          <w:i/>
        </w:rPr>
        <w:t>znalost srovnatelných produktů v</w:t>
      </w:r>
      <w:r w:rsidR="00CE7C79">
        <w:rPr>
          <w:i/>
        </w:rPr>
        <w:t> </w:t>
      </w:r>
      <w:r w:rsidR="00614BA8" w:rsidRPr="00B6554C">
        <w:rPr>
          <w:i/>
        </w:rPr>
        <w:t>ČR a</w:t>
      </w:r>
      <w:r w:rsidR="00CE7C79">
        <w:rPr>
          <w:i/>
        </w:rPr>
        <w:t> </w:t>
      </w:r>
      <w:r w:rsidR="00614BA8" w:rsidRPr="00B6554C">
        <w:rPr>
          <w:i/>
        </w:rPr>
        <w:t>v</w:t>
      </w:r>
      <w:r>
        <w:rPr>
          <w:i/>
        </w:rPr>
        <w:t> </w:t>
      </w:r>
      <w:r w:rsidR="00614BA8" w:rsidRPr="00B6554C">
        <w:rPr>
          <w:i/>
        </w:rPr>
        <w:t>zahraničí</w:t>
      </w:r>
      <w:r>
        <w:rPr>
          <w:i/>
        </w:rPr>
        <w:t xml:space="preserve"> (5 b.)</w:t>
      </w:r>
    </w:p>
    <w:p w14:paraId="67935B59" w14:textId="5628B558" w:rsidR="00614BA8" w:rsidRPr="003D113D"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3D113D">
        <w:rPr>
          <w:b/>
          <w:i/>
        </w:rPr>
        <w:t>4. Technická úroveň a</w:t>
      </w:r>
      <w:r w:rsidR="00CE7C79">
        <w:rPr>
          <w:b/>
          <w:i/>
        </w:rPr>
        <w:t> </w:t>
      </w:r>
      <w:r w:rsidRPr="003D113D">
        <w:rPr>
          <w:b/>
          <w:i/>
        </w:rPr>
        <w:t xml:space="preserve">komplexnost navrhovaného řešení (max. 20 bodů) </w:t>
      </w:r>
    </w:p>
    <w:p w14:paraId="7CEC256E" w14:textId="1AD84E20" w:rsidR="00614BA8" w:rsidRPr="00B6554C" w:rsidRDefault="00EA1395" w:rsidP="00EA1395">
      <w:pPr>
        <w:pBdr>
          <w:top w:val="single" w:sz="4" w:space="1" w:color="auto"/>
          <w:left w:val="single" w:sz="4" w:space="4" w:color="auto"/>
          <w:bottom w:val="single" w:sz="4" w:space="1" w:color="auto"/>
          <w:right w:val="single" w:sz="4" w:space="4" w:color="auto"/>
        </w:pBdr>
        <w:spacing w:after="120"/>
        <w:jc w:val="both"/>
        <w:rPr>
          <w:i/>
        </w:rPr>
      </w:pPr>
      <w:r>
        <w:rPr>
          <w:i/>
        </w:rPr>
        <w:t xml:space="preserve">předepsána 4 podkritéria po 5 bodech: </w:t>
      </w:r>
      <w:r w:rsidR="00614BA8" w:rsidRPr="003D113D">
        <w:rPr>
          <w:i/>
        </w:rPr>
        <w:t>technická úroveň projektu</w:t>
      </w:r>
      <w:r>
        <w:rPr>
          <w:i/>
        </w:rPr>
        <w:t xml:space="preserve">, </w:t>
      </w:r>
      <w:r w:rsidR="00614BA8" w:rsidRPr="003D113D">
        <w:rPr>
          <w:i/>
        </w:rPr>
        <w:t>vhodnost navržených metod</w:t>
      </w:r>
      <w:r>
        <w:rPr>
          <w:i/>
        </w:rPr>
        <w:t xml:space="preserve">, </w:t>
      </w:r>
      <w:r w:rsidR="00614BA8" w:rsidRPr="003D113D">
        <w:rPr>
          <w:i/>
        </w:rPr>
        <w:t>kvalita analýzy rizik</w:t>
      </w:r>
      <w:r>
        <w:rPr>
          <w:i/>
        </w:rPr>
        <w:t>,</w:t>
      </w:r>
      <w:r w:rsidR="00614BA8" w:rsidRPr="00B6554C">
        <w:rPr>
          <w:i/>
        </w:rPr>
        <w:t xml:space="preserve"> komplexnost navrhovaného řešení</w:t>
      </w:r>
    </w:p>
    <w:p w14:paraId="0A64DCC2" w14:textId="3BC5F00C" w:rsidR="00614BA8" w:rsidRPr="003D113D"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3D113D">
        <w:rPr>
          <w:b/>
          <w:i/>
        </w:rPr>
        <w:t>5. Přiměřenost časového plánu a</w:t>
      </w:r>
      <w:r w:rsidR="00CE7C79">
        <w:rPr>
          <w:b/>
          <w:i/>
        </w:rPr>
        <w:t> </w:t>
      </w:r>
      <w:r w:rsidRPr="003D113D">
        <w:rPr>
          <w:b/>
          <w:i/>
        </w:rPr>
        <w:t xml:space="preserve">finančních požadavků (max. 5 bodů) </w:t>
      </w:r>
    </w:p>
    <w:p w14:paraId="36CD9641" w14:textId="77777777" w:rsidR="00614BA8" w:rsidRPr="003D113D"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3D113D">
        <w:rPr>
          <w:b/>
          <w:i/>
        </w:rPr>
        <w:t xml:space="preserve">6. Uplatnění výsledků (max. 20 bodů) </w:t>
      </w:r>
    </w:p>
    <w:p w14:paraId="2C96A953" w14:textId="243F73FC" w:rsidR="00614BA8" w:rsidRPr="003D113D" w:rsidRDefault="00EA1395" w:rsidP="00B976C0">
      <w:pPr>
        <w:pBdr>
          <w:top w:val="single" w:sz="4" w:space="1" w:color="auto"/>
          <w:left w:val="single" w:sz="4" w:space="4" w:color="auto"/>
          <w:bottom w:val="single" w:sz="4" w:space="1" w:color="auto"/>
          <w:right w:val="single" w:sz="4" w:space="4" w:color="auto"/>
        </w:pBdr>
        <w:spacing w:after="120"/>
        <w:jc w:val="both"/>
        <w:rPr>
          <w:i/>
        </w:rPr>
      </w:pPr>
      <w:r>
        <w:rPr>
          <w:i/>
        </w:rPr>
        <w:t xml:space="preserve">předepsána </w:t>
      </w:r>
      <w:r w:rsidR="00B976C0">
        <w:rPr>
          <w:i/>
        </w:rPr>
        <w:t xml:space="preserve">3 podkritéria: </w:t>
      </w:r>
      <w:r w:rsidR="00614BA8" w:rsidRPr="003D113D">
        <w:rPr>
          <w:i/>
        </w:rPr>
        <w:t>kvalita, relevantnost, konkrétnost a</w:t>
      </w:r>
      <w:r w:rsidR="00CE7C79">
        <w:rPr>
          <w:i/>
        </w:rPr>
        <w:t> </w:t>
      </w:r>
      <w:r w:rsidR="00614BA8" w:rsidRPr="003D113D">
        <w:rPr>
          <w:i/>
        </w:rPr>
        <w:t>věrohodnost marketingové studie</w:t>
      </w:r>
      <w:r w:rsidR="00B976C0">
        <w:rPr>
          <w:i/>
        </w:rPr>
        <w:t xml:space="preserve"> (10 b.), </w:t>
      </w:r>
      <w:r w:rsidR="00614BA8" w:rsidRPr="003D113D">
        <w:rPr>
          <w:i/>
        </w:rPr>
        <w:t>doložení schopnosti komercializovat předchozí výsledky výzkumu, případně relevantní doložení zájmu o</w:t>
      </w:r>
      <w:r w:rsidR="00CE7C79">
        <w:rPr>
          <w:i/>
        </w:rPr>
        <w:t> </w:t>
      </w:r>
      <w:r w:rsidR="00614BA8" w:rsidRPr="003D113D">
        <w:rPr>
          <w:i/>
        </w:rPr>
        <w:t>výsledky řešení projektu</w:t>
      </w:r>
      <w:r w:rsidR="00B976C0">
        <w:rPr>
          <w:i/>
        </w:rPr>
        <w:t xml:space="preserve"> (5 b.) a </w:t>
      </w:r>
      <w:r w:rsidR="00614BA8" w:rsidRPr="003D113D">
        <w:rPr>
          <w:i/>
        </w:rPr>
        <w:t xml:space="preserve">míra rizika dosažení deklarované komercializace výsledků projektu </w:t>
      </w:r>
      <w:r w:rsidR="00B976C0">
        <w:rPr>
          <w:i/>
        </w:rPr>
        <w:t>(</w:t>
      </w:r>
      <w:r w:rsidR="00614BA8" w:rsidRPr="003D113D">
        <w:rPr>
          <w:i/>
        </w:rPr>
        <w:t>5 b.</w:t>
      </w:r>
      <w:r w:rsidR="00B976C0">
        <w:rPr>
          <w:i/>
        </w:rPr>
        <w:t>).</w:t>
      </w:r>
      <w:r w:rsidR="00614BA8" w:rsidRPr="003D113D">
        <w:rPr>
          <w:i/>
        </w:rPr>
        <w:t xml:space="preserve"> </w:t>
      </w:r>
    </w:p>
    <w:p w14:paraId="2AEA9777" w14:textId="77777777" w:rsidR="00614BA8" w:rsidRPr="003D113D" w:rsidRDefault="00614BA8" w:rsidP="00EA1395">
      <w:pPr>
        <w:pBdr>
          <w:top w:val="single" w:sz="4" w:space="1" w:color="auto"/>
          <w:left w:val="single" w:sz="4" w:space="4" w:color="auto"/>
          <w:bottom w:val="single" w:sz="4" w:space="1" w:color="auto"/>
          <w:right w:val="single" w:sz="4" w:space="4" w:color="auto"/>
        </w:pBdr>
        <w:spacing w:after="120"/>
        <w:jc w:val="both"/>
        <w:rPr>
          <w:b/>
          <w:i/>
        </w:rPr>
      </w:pPr>
      <w:r w:rsidRPr="003D113D">
        <w:rPr>
          <w:b/>
          <w:i/>
        </w:rPr>
        <w:t xml:space="preserve">7. Očekávané ekonomické přínosy (max. 20 bodů) </w:t>
      </w:r>
    </w:p>
    <w:p w14:paraId="23CD3434" w14:textId="0E27B460" w:rsidR="00614BA8" w:rsidRPr="00B6554C" w:rsidRDefault="00B976C0" w:rsidP="00EA1395">
      <w:pPr>
        <w:pBdr>
          <w:top w:val="single" w:sz="4" w:space="1" w:color="auto"/>
          <w:left w:val="single" w:sz="4" w:space="4" w:color="auto"/>
          <w:bottom w:val="single" w:sz="4" w:space="1" w:color="auto"/>
          <w:right w:val="single" w:sz="4" w:space="4" w:color="auto"/>
        </w:pBdr>
        <w:tabs>
          <w:tab w:val="right" w:leader="dot" w:pos="8505"/>
        </w:tabs>
        <w:spacing w:after="120"/>
        <w:jc w:val="both"/>
        <w:rPr>
          <w:i/>
        </w:rPr>
      </w:pPr>
      <w:r>
        <w:rPr>
          <w:i/>
        </w:rPr>
        <w:t>(předepsána dvě podkritéria po 10 bodech:</w:t>
      </w:r>
      <w:r w:rsidR="00614BA8" w:rsidRPr="003D113D">
        <w:rPr>
          <w:i/>
        </w:rPr>
        <w:t xml:space="preserve"> výše ekonomických přínosů</w:t>
      </w:r>
      <w:r>
        <w:rPr>
          <w:i/>
        </w:rPr>
        <w:t xml:space="preserve"> a </w:t>
      </w:r>
      <w:r w:rsidR="00614BA8" w:rsidRPr="00B6554C">
        <w:rPr>
          <w:i/>
        </w:rPr>
        <w:t>exportní potenciál</w:t>
      </w:r>
      <w:r>
        <w:rPr>
          <w:i/>
        </w:rPr>
        <w:t>)</w:t>
      </w:r>
    </w:p>
    <w:p w14:paraId="12586D89" w14:textId="77495553" w:rsidR="00614BA8" w:rsidRDefault="00614BA8" w:rsidP="00614BA8">
      <w:pPr>
        <w:spacing w:after="120"/>
        <w:jc w:val="both"/>
      </w:pPr>
      <w:r w:rsidRPr="00A613ED">
        <w:lastRenderedPageBreak/>
        <w:t>Pro PP2 bylo první bodované kritérium členěno na mírně odlišná podkritéria –</w:t>
      </w:r>
      <w:r w:rsidR="00B976C0">
        <w:t xml:space="preserve"> </w:t>
      </w:r>
      <w:r w:rsidRPr="00A613ED">
        <w:t>bylo zde zařazeno podkritérium „</w:t>
      </w:r>
      <w:r w:rsidRPr="00A613ED">
        <w:rPr>
          <w:i/>
        </w:rPr>
        <w:t>Projekt bude přínosný pro zapojenou výzkumnou organizaci z</w:t>
      </w:r>
      <w:r w:rsidR="00CE7C79">
        <w:rPr>
          <w:i/>
        </w:rPr>
        <w:t> </w:t>
      </w:r>
      <w:r w:rsidRPr="00A613ED">
        <w:rPr>
          <w:i/>
        </w:rPr>
        <w:t>hlediska uplatňování jejích VaV výsledků v</w:t>
      </w:r>
      <w:r w:rsidR="00CE7C79">
        <w:rPr>
          <w:i/>
        </w:rPr>
        <w:t> </w:t>
      </w:r>
      <w:r w:rsidRPr="00A613ED">
        <w:rPr>
          <w:i/>
        </w:rPr>
        <w:t>praxi a</w:t>
      </w:r>
      <w:r w:rsidR="00CE7C79">
        <w:rPr>
          <w:i/>
        </w:rPr>
        <w:t> </w:t>
      </w:r>
      <w:r w:rsidRPr="00A613ED">
        <w:rPr>
          <w:i/>
        </w:rPr>
        <w:t>navazování nových vztahů s</w:t>
      </w:r>
      <w:r w:rsidR="00CE7C79">
        <w:rPr>
          <w:i/>
        </w:rPr>
        <w:t> </w:t>
      </w:r>
      <w:r w:rsidRPr="00A613ED">
        <w:rPr>
          <w:i/>
        </w:rPr>
        <w:t>aplikačními partnery</w:t>
      </w:r>
      <w:r w:rsidRPr="00A613ED">
        <w:t>“</w:t>
      </w:r>
      <w:r>
        <w:t>, což zohledňuje jeden z</w:t>
      </w:r>
      <w:r w:rsidR="00CE7C79">
        <w:t> </w:t>
      </w:r>
      <w:r>
        <w:t>vedlejších cílů Programu. V</w:t>
      </w:r>
      <w:r w:rsidR="00CE7C79">
        <w:t> </w:t>
      </w:r>
      <w:r>
        <w:t>souladu s</w:t>
      </w:r>
      <w:r w:rsidR="00CE7C79">
        <w:t> </w:t>
      </w:r>
      <w:r>
        <w:t>předpoklady uvedenými v</w:t>
      </w:r>
      <w:r w:rsidR="00CE7C79">
        <w:t> </w:t>
      </w:r>
      <w:r>
        <w:t>Programu naopak nebyl takový důraz kladen na doložení způsobu implementace výsledků v</w:t>
      </w:r>
      <w:r w:rsidR="00CE7C79">
        <w:t> </w:t>
      </w:r>
      <w:r>
        <w:t>praxi.</w:t>
      </w:r>
    </w:p>
    <w:p w14:paraId="66F6D063" w14:textId="43D87215" w:rsidR="00614BA8" w:rsidRDefault="00614BA8" w:rsidP="00B976C0">
      <w:pPr>
        <w:spacing w:after="120"/>
        <w:jc w:val="both"/>
      </w:pPr>
      <w:r>
        <w:t>V průběhu dalších soutěží doznala podoba bodovaných kritérií jen mírných změn, zpravidla v</w:t>
      </w:r>
      <w:r w:rsidR="00CE7C79">
        <w:t> </w:t>
      </w:r>
      <w:r>
        <w:t>rozložení počtu bodů mezi kritéria či podkritéria, tyto změny však zpravidla nebyly podstatné, tedy neměnily hlavní důraz na</w:t>
      </w:r>
      <w:r w:rsidR="00B976C0">
        <w:t> </w:t>
      </w:r>
      <w:r>
        <w:t>hodnocení uplatnění výsledků v</w:t>
      </w:r>
      <w:r w:rsidR="00CE7C79">
        <w:t> </w:t>
      </w:r>
      <w:r>
        <w:t>praxi u</w:t>
      </w:r>
      <w:r w:rsidR="00CE7C79">
        <w:t> </w:t>
      </w:r>
      <w:r>
        <w:t>PP1. Došlo k</w:t>
      </w:r>
      <w:r w:rsidR="00CE7C79">
        <w:t> </w:t>
      </w:r>
      <w:r>
        <w:t>doplnění kritéria neekonomických přínosů (</w:t>
      </w:r>
      <w:r w:rsidRPr="001572CA">
        <w:rPr>
          <w:i/>
        </w:rPr>
        <w:t>pro</w:t>
      </w:r>
      <w:r w:rsidR="00E73630">
        <w:rPr>
          <w:i/>
        </w:rPr>
        <w:t> </w:t>
      </w:r>
      <w:r w:rsidRPr="001572CA">
        <w:rPr>
          <w:i/>
        </w:rPr>
        <w:t>uživatele výsledků – princip univerzálního designu; případně pozitiva pro životní prostředí</w:t>
      </w:r>
      <w:r>
        <w:t>), v</w:t>
      </w:r>
      <w:r w:rsidR="00CE7C79">
        <w:t> </w:t>
      </w:r>
      <w:r>
        <w:t>posledních soutěžích pak k</w:t>
      </w:r>
      <w:r w:rsidR="00CE7C79">
        <w:t> </w:t>
      </w:r>
      <w:r>
        <w:t xml:space="preserve">vyčlenění bodování vazby na priority RIS3 strategie do samostatného kritéria. </w:t>
      </w:r>
      <w:r w:rsidRPr="00A613ED">
        <w:t xml:space="preserve"> </w:t>
      </w:r>
    </w:p>
    <w:p w14:paraId="506DC96B" w14:textId="3E5D4A2E" w:rsidR="00614BA8" w:rsidRPr="003C32DB" w:rsidRDefault="00614BA8" w:rsidP="00614BA8">
      <w:pPr>
        <w:numPr>
          <w:ilvl w:val="0"/>
          <w:numId w:val="23"/>
        </w:numPr>
        <w:pBdr>
          <w:top w:val="nil"/>
          <w:left w:val="nil"/>
          <w:bottom w:val="nil"/>
          <w:right w:val="nil"/>
          <w:between w:val="nil"/>
        </w:pBdr>
        <w:spacing w:after="120"/>
        <w:jc w:val="both"/>
        <w:rPr>
          <w:b/>
          <w:color w:val="000000"/>
        </w:rPr>
      </w:pPr>
      <w:r>
        <w:rPr>
          <w:rFonts w:ascii="Calibri" w:eastAsia="Calibri" w:hAnsi="Calibri" w:cs="Calibri"/>
          <w:b/>
          <w:color w:val="000000"/>
        </w:rPr>
        <w:t>Bonifikační kritéria:</w:t>
      </w:r>
    </w:p>
    <w:p w14:paraId="0EAAE6AA" w14:textId="42463258" w:rsidR="00614BA8" w:rsidRDefault="00614BA8" w:rsidP="00614BA8">
      <w:pPr>
        <w:spacing w:after="120"/>
        <w:jc w:val="both"/>
        <w:rPr>
          <w:rFonts w:ascii="Calibri" w:eastAsia="Times New Roman" w:hAnsi="Calibri" w:cs="Calibri"/>
          <w:color w:val="000000"/>
          <w:lang w:eastAsia="cs-CZ"/>
        </w:rPr>
      </w:pPr>
      <w:r>
        <w:t xml:space="preserve">V první soutěži podprogramu Nováčci </w:t>
      </w:r>
      <w:r w:rsidR="00B976C0">
        <w:t xml:space="preserve">(2. VS) </w:t>
      </w:r>
      <w:r>
        <w:t>a</w:t>
      </w:r>
      <w:r w:rsidR="00CE7C79">
        <w:t> </w:t>
      </w:r>
      <w:r>
        <w:t>ve dvou specifických soutěžích zaměřených na projekty „5G“ nedošlo k</w:t>
      </w:r>
      <w:r w:rsidR="00CE7C79">
        <w:t> </w:t>
      </w:r>
      <w:r>
        <w:t>uplatnění bonifikačních kritérií. Níže je uveden přehled ostatních soutěží, kde zpravidla alespoň tři bonifikační kritéria uplatněna byla. Vždy šlo přitom o</w:t>
      </w:r>
      <w:r w:rsidR="00CE7C79">
        <w:t> </w:t>
      </w:r>
      <w:r>
        <w:t>kritérium souladu s</w:t>
      </w:r>
      <w:r w:rsidR="00CE7C79">
        <w:t> </w:t>
      </w:r>
      <w:r>
        <w:t>iniciativou P</w:t>
      </w:r>
      <w:r w:rsidR="00B976C0">
        <w:t xml:space="preserve">růmysl </w:t>
      </w:r>
      <w:r>
        <w:t>4.0 a</w:t>
      </w:r>
      <w:r w:rsidR="00CE7C79">
        <w:t> </w:t>
      </w:r>
      <w:r>
        <w:t>dále o</w:t>
      </w:r>
      <w:r w:rsidR="00CE7C79">
        <w:t> </w:t>
      </w:r>
      <w:r>
        <w:t>bonifikaci za řešení projektu v</w:t>
      </w:r>
      <w:r w:rsidR="00CE7C79">
        <w:t> </w:t>
      </w:r>
      <w:r>
        <w:t>jednom z</w:t>
      </w:r>
      <w:r w:rsidR="00CE7C79">
        <w:t> </w:t>
      </w:r>
      <w:r>
        <w:t>tzv. strukturálně postižených regionů</w:t>
      </w:r>
      <w:r w:rsidR="00C56462">
        <w:t xml:space="preserve">, </w:t>
      </w:r>
      <w:r>
        <w:t>tedy krajů s</w:t>
      </w:r>
      <w:r w:rsidR="00CE7C79">
        <w:t> </w:t>
      </w:r>
      <w:r>
        <w:t>vyšší mírou nezaměstnanosti</w:t>
      </w:r>
      <w:r w:rsidR="00C56462">
        <w:t xml:space="preserve"> (RE:START</w:t>
      </w:r>
      <w:r>
        <w:t>). Dále šlo proměnlivě o</w:t>
      </w:r>
      <w:r w:rsidR="00CE7C79">
        <w:t> </w:t>
      </w:r>
      <w:r>
        <w:t>bonifikaci za soulad s</w:t>
      </w:r>
      <w:r w:rsidR="00CE7C79">
        <w:t> </w:t>
      </w:r>
      <w:r>
        <w:t>konkrétními prioritami automobilového průmyslu</w:t>
      </w:r>
      <w:r w:rsidR="00B976C0" w:rsidRPr="00B976C0">
        <w:t xml:space="preserve"> </w:t>
      </w:r>
      <w:r w:rsidR="00B976C0">
        <w:t>(</w:t>
      </w:r>
      <w:r w:rsidR="00B976C0">
        <w:rPr>
          <w:i/>
          <w:iCs/>
        </w:rPr>
        <w:t>V</w:t>
      </w:r>
      <w:r w:rsidR="00B976C0" w:rsidRPr="00B976C0">
        <w:rPr>
          <w:i/>
          <w:iCs/>
        </w:rPr>
        <w:t>yužití nových technologií v Automotive</w:t>
      </w:r>
      <w:r w:rsidR="00B976C0">
        <w:t>)</w:t>
      </w:r>
      <w:r>
        <w:t>, v</w:t>
      </w:r>
      <w:r w:rsidR="00CE7C79">
        <w:t> </w:t>
      </w:r>
      <w:r>
        <w:t>posledních soutěžích za zaměření</w:t>
      </w:r>
      <w:r w:rsidR="00B976C0">
        <w:t xml:space="preserve"> na</w:t>
      </w:r>
      <w:r w:rsidR="00544EB6">
        <w:t> </w:t>
      </w:r>
      <w:r w:rsidR="00B976C0">
        <w:t>tzv.</w:t>
      </w:r>
      <w:r>
        <w:t xml:space="preserve"> </w:t>
      </w:r>
      <w:r w:rsidR="00B976C0" w:rsidRPr="00B976C0">
        <w:rPr>
          <w:i/>
          <w:iCs/>
        </w:rPr>
        <w:t>Cíl mise Národní RIS3 strategie</w:t>
      </w:r>
      <w:r>
        <w:t>, v</w:t>
      </w:r>
      <w:r w:rsidR="00CE7C79">
        <w:t> </w:t>
      </w:r>
      <w:r>
        <w:t>roce 2020 pak v</w:t>
      </w:r>
      <w:r w:rsidR="00CE7C79">
        <w:t> </w:t>
      </w:r>
      <w:r>
        <w:t xml:space="preserve">obou podprogramech za </w:t>
      </w:r>
      <w:r w:rsidR="00B976C0">
        <w:rPr>
          <w:rFonts w:ascii="Calibri" w:eastAsia="Times New Roman" w:hAnsi="Calibri" w:cs="Calibri"/>
          <w:i/>
          <w:color w:val="000000"/>
          <w:lang w:eastAsia="cs-CZ"/>
        </w:rPr>
        <w:t>P</w:t>
      </w:r>
      <w:r w:rsidRPr="00E01D36">
        <w:rPr>
          <w:rFonts w:ascii="Calibri" w:eastAsia="Times New Roman" w:hAnsi="Calibri" w:cs="Calibri"/>
          <w:i/>
          <w:color w:val="000000"/>
          <w:lang w:eastAsia="cs-CZ"/>
        </w:rPr>
        <w:t>řínos projektu ke snížení zdravotních hrozeb typu onemocnění COVID-19 a</w:t>
      </w:r>
      <w:r w:rsidR="00CE7C79">
        <w:rPr>
          <w:rFonts w:ascii="Calibri" w:eastAsia="Times New Roman" w:hAnsi="Calibri" w:cs="Calibri"/>
          <w:i/>
          <w:color w:val="000000"/>
          <w:lang w:eastAsia="cs-CZ"/>
        </w:rPr>
        <w:t> </w:t>
      </w:r>
      <w:r w:rsidRPr="00E01D36">
        <w:rPr>
          <w:rFonts w:ascii="Calibri" w:eastAsia="Times New Roman" w:hAnsi="Calibri" w:cs="Calibri"/>
          <w:i/>
          <w:color w:val="000000"/>
          <w:lang w:eastAsia="cs-CZ"/>
        </w:rPr>
        <w:t>jejich dopadů</w:t>
      </w:r>
      <w:r>
        <w:rPr>
          <w:rFonts w:ascii="Calibri" w:eastAsia="Times New Roman" w:hAnsi="Calibri" w:cs="Calibri"/>
          <w:color w:val="000000"/>
          <w:lang w:eastAsia="cs-CZ"/>
        </w:rPr>
        <w:t>, ale také za využití tzv. 5G sítí</w:t>
      </w:r>
      <w:r w:rsidR="00B976C0">
        <w:rPr>
          <w:rFonts w:ascii="Calibri" w:eastAsia="Times New Roman" w:hAnsi="Calibri" w:cs="Calibri"/>
          <w:color w:val="000000"/>
          <w:lang w:eastAsia="cs-CZ"/>
        </w:rPr>
        <w:t xml:space="preserve"> (</w:t>
      </w:r>
      <w:r w:rsidR="00B976C0" w:rsidRPr="00B976C0">
        <w:rPr>
          <w:rFonts w:ascii="Calibri" w:eastAsia="Times New Roman" w:hAnsi="Calibri" w:cs="Calibri"/>
          <w:i/>
          <w:iCs/>
          <w:color w:val="000000"/>
          <w:lang w:eastAsia="cs-CZ"/>
        </w:rPr>
        <w:t>Využití technologie sítí elektronických komunikací 5. a vyšší generace</w:t>
      </w:r>
      <w:r w:rsidR="00B976C0">
        <w:rPr>
          <w:rFonts w:ascii="Calibri" w:eastAsia="Times New Roman" w:hAnsi="Calibri" w:cs="Calibri"/>
          <w:color w:val="000000"/>
          <w:lang w:eastAsia="cs-CZ"/>
        </w:rPr>
        <w:t>)</w:t>
      </w:r>
      <w:r>
        <w:rPr>
          <w:rFonts w:ascii="Calibri" w:eastAsia="Times New Roman" w:hAnsi="Calibri" w:cs="Calibri"/>
          <w:color w:val="000000"/>
          <w:lang w:eastAsia="cs-CZ"/>
        </w:rPr>
        <w:t>.</w:t>
      </w:r>
      <w:r w:rsidR="0012228A">
        <w:rPr>
          <w:rFonts w:ascii="Calibri" w:eastAsia="Times New Roman" w:hAnsi="Calibri" w:cs="Calibri"/>
          <w:color w:val="000000"/>
          <w:lang w:eastAsia="cs-CZ"/>
        </w:rPr>
        <w:t xml:space="preserve"> </w:t>
      </w:r>
      <w:r w:rsidR="0012228A" w:rsidRPr="0012228A">
        <w:rPr>
          <w:rFonts w:ascii="Calibri" w:eastAsia="Times New Roman" w:hAnsi="Calibri" w:cs="Calibri"/>
          <w:color w:val="000000"/>
          <w:lang w:eastAsia="cs-CZ"/>
        </w:rPr>
        <w:t>Ve všech případech bylo možné za</w:t>
      </w:r>
      <w:r w:rsidR="00B976C0">
        <w:rPr>
          <w:rFonts w:ascii="Calibri" w:eastAsia="Times New Roman" w:hAnsi="Calibri" w:cs="Calibri"/>
          <w:color w:val="000000"/>
          <w:lang w:eastAsia="cs-CZ"/>
        </w:rPr>
        <w:t> </w:t>
      </w:r>
      <w:r w:rsidR="0012228A" w:rsidRPr="0012228A">
        <w:rPr>
          <w:rFonts w:ascii="Calibri" w:eastAsia="Times New Roman" w:hAnsi="Calibri" w:cs="Calibri"/>
          <w:color w:val="000000"/>
          <w:lang w:eastAsia="cs-CZ"/>
        </w:rPr>
        <w:t>každou jednotlivou bonifikaci získat 10 bodů na</w:t>
      </w:r>
      <w:r w:rsidR="00585E74">
        <w:rPr>
          <w:rFonts w:ascii="Calibri" w:eastAsia="Times New Roman" w:hAnsi="Calibri" w:cs="Calibri"/>
          <w:color w:val="000000"/>
          <w:lang w:eastAsia="cs-CZ"/>
        </w:rPr>
        <w:t>d</w:t>
      </w:r>
      <w:r w:rsidR="0012228A" w:rsidRPr="0012228A">
        <w:rPr>
          <w:rFonts w:ascii="Calibri" w:eastAsia="Times New Roman" w:hAnsi="Calibri" w:cs="Calibri"/>
          <w:color w:val="000000"/>
          <w:lang w:eastAsia="cs-CZ"/>
        </w:rPr>
        <w:t xml:space="preserve"> rámec základního bodování, te</w:t>
      </w:r>
      <w:r w:rsidR="0012228A">
        <w:rPr>
          <w:rFonts w:ascii="Calibri" w:eastAsia="Times New Roman" w:hAnsi="Calibri" w:cs="Calibri"/>
          <w:color w:val="000000"/>
          <w:lang w:eastAsia="cs-CZ"/>
        </w:rPr>
        <w:t>dy nejčastěji až 30 bodů</w:t>
      </w:r>
      <w:r w:rsidR="0012228A" w:rsidRPr="0012228A">
        <w:rPr>
          <w:rFonts w:ascii="Calibri" w:eastAsia="Times New Roman" w:hAnsi="Calibri" w:cs="Calibri"/>
          <w:color w:val="000000"/>
          <w:lang w:eastAsia="cs-CZ"/>
        </w:rPr>
        <w:t>.</w:t>
      </w:r>
    </w:p>
    <w:p w14:paraId="656862EB" w14:textId="729D0DCC" w:rsidR="002D1C55" w:rsidRPr="00B15CA2" w:rsidRDefault="002D1C55" w:rsidP="00A7392F">
      <w:pPr>
        <w:pStyle w:val="Titulek"/>
      </w:pPr>
      <w:bookmarkStart w:id="14" w:name="_Toc185334571"/>
      <w:r w:rsidRPr="009C79BC">
        <w:t xml:space="preserve">Tabulka </w:t>
      </w:r>
      <w:r w:rsidR="00353407">
        <w:fldChar w:fldCharType="begin"/>
      </w:r>
      <w:r w:rsidR="00353407">
        <w:instrText xml:space="preserve"> SEQ Tabulka \* ARABIC </w:instrText>
      </w:r>
      <w:r w:rsidR="00353407">
        <w:fldChar w:fldCharType="separate"/>
      </w:r>
      <w:r w:rsidR="00353407">
        <w:rPr>
          <w:noProof/>
        </w:rPr>
        <w:t>4</w:t>
      </w:r>
      <w:r w:rsidR="00353407">
        <w:rPr>
          <w:noProof/>
        </w:rPr>
        <w:fldChar w:fldCharType="end"/>
      </w:r>
      <w:r w:rsidRPr="009C79BC">
        <w:t xml:space="preserve">: </w:t>
      </w:r>
      <w:r w:rsidRPr="002D1C55">
        <w:t>Přehled bonifikovaných aspektů v jednotlivých soutěžích</w:t>
      </w:r>
      <w:bookmarkEnd w:id="14"/>
    </w:p>
    <w:tbl>
      <w:tblPr>
        <w:tblW w:w="9634" w:type="dxa"/>
        <w:tblBorders>
          <w:top w:val="nil"/>
          <w:left w:val="nil"/>
          <w:bottom w:val="nil"/>
          <w:right w:val="nil"/>
          <w:insideH w:val="nil"/>
          <w:insideV w:val="nil"/>
        </w:tblBorders>
        <w:tblLayout w:type="fixed"/>
        <w:tblLook w:val="0600" w:firstRow="0" w:lastRow="0" w:firstColumn="0" w:lastColumn="0" w:noHBand="1" w:noVBand="1"/>
      </w:tblPr>
      <w:tblGrid>
        <w:gridCol w:w="1309"/>
        <w:gridCol w:w="1310"/>
        <w:gridCol w:w="1310"/>
        <w:gridCol w:w="1311"/>
        <w:gridCol w:w="9"/>
        <w:gridCol w:w="1455"/>
        <w:gridCol w:w="1465"/>
        <w:gridCol w:w="1465"/>
      </w:tblGrid>
      <w:tr w:rsidR="00DB09A8" w14:paraId="01939C16" w14:textId="2B8A948D" w:rsidTr="00537366">
        <w:trPr>
          <w:trHeight w:val="185"/>
        </w:trPr>
        <w:tc>
          <w:tcPr>
            <w:tcW w:w="5249" w:type="dxa"/>
            <w:gridSpan w:val="5"/>
            <w:tcBorders>
              <w:top w:val="single" w:sz="4" w:space="0" w:color="auto"/>
              <w:left w:val="single" w:sz="4" w:space="0" w:color="auto"/>
              <w:bottom w:val="single" w:sz="4" w:space="0" w:color="auto"/>
              <w:right w:val="single" w:sz="4" w:space="0" w:color="auto"/>
            </w:tcBorders>
            <w:shd w:val="clear" w:color="auto" w:fill="B9E0F7"/>
            <w:tcMar>
              <w:top w:w="100" w:type="dxa"/>
              <w:left w:w="100" w:type="dxa"/>
              <w:bottom w:w="100" w:type="dxa"/>
              <w:right w:w="100" w:type="dxa"/>
            </w:tcMar>
            <w:vAlign w:val="center"/>
          </w:tcPr>
          <w:p w14:paraId="10768702" w14:textId="6D653636" w:rsidR="00DB09A8" w:rsidRDefault="00DB09A8" w:rsidP="002D1C55">
            <w:pPr>
              <w:keepNext/>
              <w:spacing w:after="0" w:line="240" w:lineRule="auto"/>
              <w:jc w:val="center"/>
              <w:rPr>
                <w:rFonts w:ascii="Arial" w:eastAsia="Arial" w:hAnsi="Arial" w:cs="Arial"/>
                <w:sz w:val="20"/>
                <w:szCs w:val="20"/>
              </w:rPr>
            </w:pPr>
            <w:r>
              <w:t>PP1 Lídři</w:t>
            </w:r>
          </w:p>
        </w:tc>
        <w:tc>
          <w:tcPr>
            <w:tcW w:w="4385" w:type="dxa"/>
            <w:gridSpan w:val="3"/>
            <w:tcBorders>
              <w:top w:val="single" w:sz="4" w:space="0" w:color="auto"/>
              <w:left w:val="single" w:sz="4" w:space="0" w:color="auto"/>
              <w:bottom w:val="single" w:sz="4" w:space="0" w:color="auto"/>
              <w:right w:val="single" w:sz="4" w:space="0" w:color="auto"/>
            </w:tcBorders>
            <w:shd w:val="clear" w:color="auto" w:fill="B9E0F7"/>
            <w:tcMar>
              <w:top w:w="40" w:type="dxa"/>
              <w:left w:w="40" w:type="dxa"/>
              <w:bottom w:w="40" w:type="dxa"/>
              <w:right w:w="40" w:type="dxa"/>
            </w:tcMar>
            <w:vAlign w:val="center"/>
          </w:tcPr>
          <w:p w14:paraId="7E71AAFA" w14:textId="1B39A203" w:rsidR="00DB09A8" w:rsidRDefault="00DB09A8" w:rsidP="002D1C55">
            <w:pPr>
              <w:keepNext/>
              <w:spacing w:after="0" w:line="240" w:lineRule="auto"/>
              <w:jc w:val="center"/>
            </w:pPr>
            <w:r>
              <w:t>PP2 Nováčci</w:t>
            </w:r>
          </w:p>
        </w:tc>
      </w:tr>
      <w:tr w:rsidR="00DB09A8" w14:paraId="0FE6FFAA" w14:textId="69B93D24" w:rsidTr="00537366">
        <w:trPr>
          <w:trHeight w:val="136"/>
        </w:trPr>
        <w:tc>
          <w:tcPr>
            <w:tcW w:w="1309" w:type="dxa"/>
            <w:tcBorders>
              <w:top w:val="single" w:sz="4" w:space="0" w:color="auto"/>
              <w:left w:val="single" w:sz="6" w:space="0" w:color="000000"/>
              <w:bottom w:val="single" w:sz="6" w:space="0" w:color="000000"/>
              <w:right w:val="single" w:sz="6" w:space="0" w:color="000000"/>
            </w:tcBorders>
            <w:shd w:val="clear" w:color="auto" w:fill="B9E0F7"/>
            <w:tcMar>
              <w:top w:w="100" w:type="dxa"/>
              <w:left w:w="100" w:type="dxa"/>
              <w:bottom w:w="100" w:type="dxa"/>
              <w:right w:w="100" w:type="dxa"/>
            </w:tcMar>
            <w:vAlign w:val="center"/>
          </w:tcPr>
          <w:p w14:paraId="184D8B17" w14:textId="693A6CC6" w:rsidR="00DB09A8" w:rsidRDefault="00DB09A8" w:rsidP="00544EB6">
            <w:pPr>
              <w:widowControl w:val="0"/>
              <w:spacing w:after="0" w:line="240" w:lineRule="auto"/>
              <w:jc w:val="center"/>
              <w:rPr>
                <w:rFonts w:ascii="Arial" w:eastAsia="Arial" w:hAnsi="Arial" w:cs="Arial"/>
                <w:sz w:val="20"/>
                <w:szCs w:val="20"/>
              </w:rPr>
            </w:pPr>
            <w:r>
              <w:rPr>
                <w:rFonts w:ascii="Arial" w:eastAsia="Arial" w:hAnsi="Arial" w:cs="Arial"/>
                <w:sz w:val="20"/>
                <w:szCs w:val="20"/>
              </w:rPr>
              <w:t>1.VS</w:t>
            </w:r>
          </w:p>
        </w:tc>
        <w:tc>
          <w:tcPr>
            <w:tcW w:w="1310" w:type="dxa"/>
            <w:tcBorders>
              <w:top w:val="single" w:sz="4" w:space="0" w:color="auto"/>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center"/>
          </w:tcPr>
          <w:p w14:paraId="71DDAEDE" w14:textId="7C46DE24" w:rsidR="00DB09A8" w:rsidRDefault="00DB09A8" w:rsidP="00544EB6">
            <w:pPr>
              <w:widowControl w:val="0"/>
              <w:spacing w:after="0" w:line="240" w:lineRule="auto"/>
              <w:jc w:val="center"/>
            </w:pPr>
            <w:r>
              <w:t>3.VS</w:t>
            </w:r>
          </w:p>
        </w:tc>
        <w:tc>
          <w:tcPr>
            <w:tcW w:w="1310" w:type="dxa"/>
            <w:tcBorders>
              <w:top w:val="single" w:sz="4" w:space="0" w:color="auto"/>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center"/>
          </w:tcPr>
          <w:p w14:paraId="608A7FB8" w14:textId="0DCA10CA" w:rsidR="00DB09A8" w:rsidRDefault="00DB09A8" w:rsidP="00544EB6">
            <w:pPr>
              <w:keepNext/>
              <w:spacing w:after="0" w:line="240" w:lineRule="auto"/>
              <w:jc w:val="center"/>
            </w:pPr>
            <w:r>
              <w:t>6.VS</w:t>
            </w:r>
          </w:p>
        </w:tc>
        <w:tc>
          <w:tcPr>
            <w:tcW w:w="1311" w:type="dxa"/>
            <w:tcBorders>
              <w:top w:val="single" w:sz="4" w:space="0" w:color="auto"/>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center"/>
          </w:tcPr>
          <w:p w14:paraId="3C52A676" w14:textId="0C1D2DC6" w:rsidR="00DB09A8" w:rsidRDefault="00DB09A8" w:rsidP="00544EB6">
            <w:pPr>
              <w:keepNext/>
              <w:spacing w:after="0" w:line="240" w:lineRule="auto"/>
              <w:jc w:val="center"/>
            </w:pPr>
            <w:r>
              <w:t>10. a 12.VS</w:t>
            </w:r>
          </w:p>
        </w:tc>
        <w:tc>
          <w:tcPr>
            <w:tcW w:w="1464" w:type="dxa"/>
            <w:gridSpan w:val="2"/>
            <w:tcBorders>
              <w:top w:val="single" w:sz="4" w:space="0" w:color="auto"/>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center"/>
          </w:tcPr>
          <w:p w14:paraId="49C8D6EE" w14:textId="76EC815F" w:rsidR="00DB09A8" w:rsidRDefault="00DB09A8" w:rsidP="00544EB6">
            <w:pPr>
              <w:keepNext/>
              <w:spacing w:after="0" w:line="240" w:lineRule="auto"/>
              <w:jc w:val="center"/>
            </w:pPr>
            <w:r>
              <w:t>4.VS</w:t>
            </w:r>
          </w:p>
        </w:tc>
        <w:tc>
          <w:tcPr>
            <w:tcW w:w="1465" w:type="dxa"/>
            <w:tcBorders>
              <w:top w:val="single" w:sz="4" w:space="0" w:color="auto"/>
              <w:left w:val="single" w:sz="6" w:space="0" w:color="CCCCCC"/>
              <w:bottom w:val="single" w:sz="6" w:space="0" w:color="000000"/>
              <w:right w:val="single" w:sz="6" w:space="0" w:color="000000"/>
            </w:tcBorders>
            <w:shd w:val="clear" w:color="auto" w:fill="B9E0F7"/>
            <w:tcMar>
              <w:top w:w="40" w:type="dxa"/>
              <w:left w:w="40" w:type="dxa"/>
              <w:bottom w:w="40" w:type="dxa"/>
              <w:right w:w="40" w:type="dxa"/>
            </w:tcMar>
            <w:vAlign w:val="center"/>
          </w:tcPr>
          <w:p w14:paraId="38EA4F0A" w14:textId="2C5FBA11" w:rsidR="00DB09A8" w:rsidRDefault="00DB09A8" w:rsidP="00544EB6">
            <w:pPr>
              <w:keepNext/>
              <w:spacing w:after="0" w:line="240" w:lineRule="auto"/>
              <w:jc w:val="center"/>
            </w:pPr>
            <w:r>
              <w:t>9.VS</w:t>
            </w:r>
          </w:p>
        </w:tc>
        <w:tc>
          <w:tcPr>
            <w:tcW w:w="1465" w:type="dxa"/>
            <w:tcBorders>
              <w:top w:val="single" w:sz="4" w:space="0" w:color="auto"/>
              <w:left w:val="single" w:sz="6" w:space="0" w:color="CCCCCC"/>
              <w:bottom w:val="single" w:sz="6" w:space="0" w:color="000000"/>
              <w:right w:val="single" w:sz="6" w:space="0" w:color="000000"/>
            </w:tcBorders>
            <w:shd w:val="clear" w:color="auto" w:fill="B9E0F7"/>
          </w:tcPr>
          <w:p w14:paraId="026B85E4" w14:textId="3CB5FC0A" w:rsidR="00DB09A8" w:rsidRDefault="00DB09A8" w:rsidP="00544EB6">
            <w:pPr>
              <w:keepNext/>
              <w:spacing w:after="0" w:line="240" w:lineRule="auto"/>
              <w:jc w:val="center"/>
            </w:pPr>
            <w:r>
              <w:t>11.VS</w:t>
            </w:r>
          </w:p>
        </w:tc>
      </w:tr>
      <w:tr w:rsidR="00DB09A8" w14:paraId="492D60A5" w14:textId="71FC404F" w:rsidTr="008A4DC4">
        <w:trPr>
          <w:trHeight w:val="340"/>
        </w:trPr>
        <w:tc>
          <w:tcPr>
            <w:tcW w:w="9634" w:type="dxa"/>
            <w:gridSpan w:val="8"/>
            <w:tcBorders>
              <w:top w:val="single" w:sz="6" w:space="0" w:color="CCCCCC"/>
              <w:left w:val="single" w:sz="6" w:space="0" w:color="000000"/>
              <w:bottom w:val="single" w:sz="6" w:space="0" w:color="000000"/>
              <w:right w:val="single" w:sz="6" w:space="0" w:color="000000"/>
            </w:tcBorders>
            <w:shd w:val="clear" w:color="auto" w:fill="E0F1FC"/>
            <w:tcMar>
              <w:top w:w="40" w:type="dxa"/>
              <w:left w:w="40" w:type="dxa"/>
              <w:bottom w:w="40" w:type="dxa"/>
              <w:right w:w="40" w:type="dxa"/>
            </w:tcMar>
            <w:vAlign w:val="center"/>
          </w:tcPr>
          <w:p w14:paraId="753C17A6" w14:textId="3F800937" w:rsidR="00DB09A8" w:rsidRPr="00410162" w:rsidRDefault="00DB09A8" w:rsidP="008A4DC4">
            <w:pPr>
              <w:widowControl w:val="0"/>
              <w:spacing w:after="0" w:line="240" w:lineRule="auto"/>
              <w:jc w:val="center"/>
              <w:rPr>
                <w:rFonts w:ascii="Calibri" w:eastAsia="Times New Roman" w:hAnsi="Calibri" w:cs="Calibri"/>
                <w:color w:val="000000"/>
                <w:lang w:eastAsia="cs-CZ"/>
              </w:rPr>
            </w:pPr>
            <w:r w:rsidRPr="00410162">
              <w:rPr>
                <w:rFonts w:ascii="Calibri" w:eastAsia="Times New Roman" w:hAnsi="Calibri" w:cs="Calibri"/>
                <w:color w:val="000000"/>
                <w:lang w:eastAsia="cs-CZ"/>
              </w:rPr>
              <w:t>Průmysl 4.0</w:t>
            </w:r>
          </w:p>
        </w:tc>
      </w:tr>
      <w:tr w:rsidR="00DB09A8" w14:paraId="719B0B07" w14:textId="1D64434D" w:rsidTr="008A4DC4">
        <w:trPr>
          <w:trHeight w:val="340"/>
        </w:trPr>
        <w:tc>
          <w:tcPr>
            <w:tcW w:w="9634" w:type="dxa"/>
            <w:gridSpan w:val="8"/>
            <w:tcBorders>
              <w:top w:val="single" w:sz="6" w:space="0" w:color="CCCCCC"/>
              <w:left w:val="single" w:sz="6" w:space="0" w:color="000000"/>
              <w:bottom w:val="single" w:sz="6" w:space="0" w:color="000000"/>
              <w:right w:val="single" w:sz="6" w:space="0" w:color="000000"/>
            </w:tcBorders>
            <w:shd w:val="clear" w:color="auto" w:fill="E0F1FC"/>
            <w:tcMar>
              <w:top w:w="40" w:type="dxa"/>
              <w:left w:w="40" w:type="dxa"/>
              <w:bottom w:w="40" w:type="dxa"/>
              <w:right w:w="40" w:type="dxa"/>
            </w:tcMar>
            <w:vAlign w:val="center"/>
          </w:tcPr>
          <w:p w14:paraId="2A76AE86" w14:textId="1203E626" w:rsidR="00DB09A8" w:rsidRDefault="00DB09A8" w:rsidP="008A4DC4">
            <w:pPr>
              <w:widowControl w:val="0"/>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RE:START</w:t>
            </w:r>
          </w:p>
        </w:tc>
      </w:tr>
      <w:tr w:rsidR="00DB09A8" w14:paraId="6FA8CAF2" w14:textId="77777777" w:rsidTr="008A4DC4">
        <w:trPr>
          <w:trHeight w:val="340"/>
        </w:trPr>
        <w:tc>
          <w:tcPr>
            <w:tcW w:w="2619" w:type="dxa"/>
            <w:gridSpan w:val="2"/>
            <w:tcBorders>
              <w:top w:val="single" w:sz="6" w:space="0" w:color="CCCCCC"/>
              <w:left w:val="single" w:sz="6" w:space="0" w:color="000000"/>
              <w:bottom w:val="single" w:sz="6" w:space="0" w:color="000000"/>
              <w:right w:val="single" w:sz="6" w:space="0" w:color="000000"/>
            </w:tcBorders>
            <w:shd w:val="clear" w:color="auto" w:fill="DFEFFD"/>
            <w:tcMar>
              <w:top w:w="40" w:type="dxa"/>
              <w:left w:w="40" w:type="dxa"/>
              <w:bottom w:w="40" w:type="dxa"/>
              <w:right w:w="40" w:type="dxa"/>
            </w:tcMar>
            <w:vAlign w:val="center"/>
          </w:tcPr>
          <w:p w14:paraId="08BF111F" w14:textId="7EF333BD" w:rsidR="00DB09A8" w:rsidRDefault="00DB09A8" w:rsidP="008A4DC4">
            <w:pPr>
              <w:widowControl w:val="0"/>
              <w:spacing w:after="0" w:line="240" w:lineRule="auto"/>
              <w:jc w:val="center"/>
              <w:rPr>
                <w:rFonts w:ascii="Calibri" w:eastAsia="Times New Roman" w:hAnsi="Calibri" w:cs="Calibri"/>
                <w:color w:val="000000"/>
                <w:lang w:eastAsia="cs-CZ"/>
              </w:rPr>
            </w:pPr>
            <w:r w:rsidRPr="00410162">
              <w:rPr>
                <w:rFonts w:ascii="Calibri" w:eastAsia="Times New Roman" w:hAnsi="Calibri" w:cs="Calibri"/>
                <w:color w:val="000000"/>
                <w:lang w:eastAsia="cs-CZ"/>
              </w:rPr>
              <w:t>Automotive</w:t>
            </w:r>
          </w:p>
        </w:tc>
        <w:tc>
          <w:tcPr>
            <w:tcW w:w="131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008DD5" w14:textId="77777777" w:rsidR="00DB09A8" w:rsidRDefault="00DB09A8" w:rsidP="008A4DC4">
            <w:pPr>
              <w:widowControl w:val="0"/>
              <w:spacing w:after="0" w:line="240" w:lineRule="auto"/>
              <w:jc w:val="center"/>
              <w:rPr>
                <w:rFonts w:ascii="Arial" w:eastAsia="Arial" w:hAnsi="Arial" w:cs="Arial"/>
                <w:sz w:val="20"/>
                <w:szCs w:val="20"/>
              </w:rPr>
            </w:pPr>
          </w:p>
        </w:tc>
        <w:tc>
          <w:tcPr>
            <w:tcW w:w="1311"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14DE75E" w14:textId="77777777" w:rsidR="00DB09A8" w:rsidRDefault="00DB09A8" w:rsidP="008A4DC4">
            <w:pPr>
              <w:widowControl w:val="0"/>
              <w:spacing w:after="0" w:line="240" w:lineRule="auto"/>
              <w:jc w:val="center"/>
              <w:rPr>
                <w:rFonts w:ascii="Arial" w:eastAsia="Arial" w:hAnsi="Arial" w:cs="Arial"/>
                <w:sz w:val="20"/>
                <w:szCs w:val="20"/>
              </w:rPr>
            </w:pPr>
          </w:p>
        </w:tc>
        <w:tc>
          <w:tcPr>
            <w:tcW w:w="1464" w:type="dxa"/>
            <w:gridSpan w:val="2"/>
            <w:tcBorders>
              <w:top w:val="single" w:sz="6" w:space="0" w:color="CCCCCC"/>
              <w:left w:val="single" w:sz="6" w:space="0" w:color="CCCCCC"/>
              <w:bottom w:val="single" w:sz="6" w:space="0" w:color="000000"/>
              <w:right w:val="single" w:sz="6" w:space="0" w:color="000000"/>
            </w:tcBorders>
            <w:shd w:val="clear" w:color="auto" w:fill="E0F1FC"/>
            <w:tcMar>
              <w:top w:w="40" w:type="dxa"/>
              <w:left w:w="40" w:type="dxa"/>
              <w:bottom w:w="40" w:type="dxa"/>
              <w:right w:w="40" w:type="dxa"/>
            </w:tcMar>
            <w:vAlign w:val="center"/>
          </w:tcPr>
          <w:p w14:paraId="44B1C376" w14:textId="1411D451" w:rsidR="00DB09A8" w:rsidRDefault="00DB09A8" w:rsidP="008A4DC4">
            <w:pPr>
              <w:widowControl w:val="0"/>
              <w:spacing w:after="0" w:line="240" w:lineRule="auto"/>
              <w:jc w:val="center"/>
              <w:rPr>
                <w:rFonts w:ascii="Calibri" w:eastAsia="Times New Roman" w:hAnsi="Calibri" w:cs="Calibri"/>
                <w:color w:val="000000"/>
                <w:lang w:eastAsia="cs-CZ"/>
              </w:rPr>
            </w:pPr>
            <w:r w:rsidRPr="00410162">
              <w:rPr>
                <w:rFonts w:ascii="Calibri" w:eastAsia="Times New Roman" w:hAnsi="Calibri" w:cs="Calibri"/>
                <w:color w:val="000000"/>
                <w:lang w:eastAsia="cs-CZ"/>
              </w:rPr>
              <w:t>Automotive</w:t>
            </w:r>
          </w:p>
        </w:tc>
        <w:tc>
          <w:tcPr>
            <w:tcW w:w="146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2A45630" w14:textId="77777777"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6" w:space="0" w:color="CCCCCC"/>
              <w:left w:val="single" w:sz="6" w:space="0" w:color="CCCCCC"/>
              <w:bottom w:val="single" w:sz="6" w:space="0" w:color="000000"/>
              <w:right w:val="single" w:sz="6" w:space="0" w:color="000000"/>
            </w:tcBorders>
            <w:vAlign w:val="center"/>
          </w:tcPr>
          <w:p w14:paraId="258B64DA" w14:textId="77777777" w:rsidR="00DB09A8" w:rsidRDefault="00DB09A8" w:rsidP="008A4DC4">
            <w:pPr>
              <w:widowControl w:val="0"/>
              <w:spacing w:after="0" w:line="240" w:lineRule="auto"/>
              <w:jc w:val="center"/>
              <w:rPr>
                <w:rFonts w:ascii="Arial" w:eastAsia="Arial" w:hAnsi="Arial" w:cs="Arial"/>
                <w:sz w:val="20"/>
                <w:szCs w:val="20"/>
              </w:rPr>
            </w:pPr>
          </w:p>
        </w:tc>
      </w:tr>
      <w:tr w:rsidR="00DB09A8" w14:paraId="4BB310D7" w14:textId="08FE006A" w:rsidTr="008A4DC4">
        <w:trPr>
          <w:trHeight w:val="340"/>
        </w:trPr>
        <w:tc>
          <w:tcPr>
            <w:tcW w:w="130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4742225" w14:textId="67592EC7" w:rsidR="00DB09A8" w:rsidRPr="00E46E41" w:rsidRDefault="00DB09A8" w:rsidP="00544EB6">
            <w:pPr>
              <w:widowControl w:val="0"/>
              <w:spacing w:after="0" w:line="240" w:lineRule="auto"/>
              <w:jc w:val="center"/>
              <w:rPr>
                <w:rFonts w:ascii="Arial" w:eastAsia="Arial" w:hAnsi="Arial" w:cs="Arial"/>
                <w:sz w:val="20"/>
                <w:szCs w:val="20"/>
              </w:rPr>
            </w:pPr>
          </w:p>
        </w:tc>
        <w:tc>
          <w:tcPr>
            <w:tcW w:w="1310" w:type="dxa"/>
            <w:tcBorders>
              <w:top w:val="single" w:sz="6" w:space="0" w:color="CCCCCC"/>
              <w:left w:val="single" w:sz="6" w:space="0" w:color="CCCCCC"/>
              <w:bottom w:val="single" w:sz="6" w:space="0" w:color="000000"/>
              <w:right w:val="single" w:sz="6" w:space="0" w:color="000000"/>
            </w:tcBorders>
            <w:shd w:val="clear" w:color="auto" w:fill="E0F1FC"/>
            <w:tcMar>
              <w:top w:w="40" w:type="dxa"/>
              <w:left w:w="40" w:type="dxa"/>
              <w:bottom w:w="40" w:type="dxa"/>
              <w:right w:w="40" w:type="dxa"/>
            </w:tcMar>
            <w:vAlign w:val="center"/>
          </w:tcPr>
          <w:p w14:paraId="764E91A5" w14:textId="5D68C661" w:rsidR="00DB09A8" w:rsidRDefault="00DB09A8" w:rsidP="008A4DC4">
            <w:pPr>
              <w:widowControl w:val="0"/>
              <w:spacing w:after="0" w:line="240" w:lineRule="auto"/>
              <w:jc w:val="center"/>
              <w:rPr>
                <w:rFonts w:ascii="Arial" w:eastAsia="Arial" w:hAnsi="Arial" w:cs="Arial"/>
                <w:sz w:val="20"/>
                <w:szCs w:val="20"/>
              </w:rPr>
            </w:pPr>
            <w:r>
              <w:rPr>
                <w:rFonts w:ascii="Calibri" w:eastAsia="Times New Roman" w:hAnsi="Calibri" w:cs="Calibri"/>
                <w:color w:val="000000"/>
                <w:lang w:eastAsia="cs-CZ"/>
              </w:rPr>
              <w:t>5G</w:t>
            </w:r>
          </w:p>
        </w:tc>
        <w:tc>
          <w:tcPr>
            <w:tcW w:w="131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F366D97" w14:textId="42D8404B" w:rsidR="00DB09A8" w:rsidRDefault="00DB09A8" w:rsidP="008A4DC4">
            <w:pPr>
              <w:widowControl w:val="0"/>
              <w:spacing w:after="0" w:line="240" w:lineRule="auto"/>
              <w:jc w:val="center"/>
              <w:rPr>
                <w:rFonts w:ascii="Arial" w:eastAsia="Arial" w:hAnsi="Arial" w:cs="Arial"/>
                <w:sz w:val="20"/>
                <w:szCs w:val="20"/>
              </w:rPr>
            </w:pPr>
          </w:p>
        </w:tc>
        <w:tc>
          <w:tcPr>
            <w:tcW w:w="1311"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616FD11" w14:textId="50E6D723" w:rsidR="00DB09A8" w:rsidRDefault="00DB09A8" w:rsidP="008A4DC4">
            <w:pPr>
              <w:widowControl w:val="0"/>
              <w:spacing w:after="0" w:line="240" w:lineRule="auto"/>
              <w:jc w:val="center"/>
              <w:rPr>
                <w:rFonts w:ascii="Arial" w:eastAsia="Arial" w:hAnsi="Arial" w:cs="Arial"/>
                <w:sz w:val="20"/>
                <w:szCs w:val="20"/>
              </w:rPr>
            </w:pPr>
          </w:p>
        </w:tc>
        <w:tc>
          <w:tcPr>
            <w:tcW w:w="1464" w:type="dxa"/>
            <w:gridSpan w:val="2"/>
            <w:tcBorders>
              <w:top w:val="single" w:sz="6" w:space="0" w:color="CCCCCC"/>
              <w:left w:val="single" w:sz="6" w:space="0" w:color="CCCCCC"/>
              <w:bottom w:val="single" w:sz="6" w:space="0" w:color="000000"/>
              <w:right w:val="single" w:sz="6" w:space="0" w:color="000000"/>
            </w:tcBorders>
            <w:shd w:val="clear" w:color="auto" w:fill="E0F1FC"/>
            <w:tcMar>
              <w:top w:w="40" w:type="dxa"/>
              <w:left w:w="40" w:type="dxa"/>
              <w:bottom w:w="40" w:type="dxa"/>
              <w:right w:w="40" w:type="dxa"/>
            </w:tcMar>
            <w:vAlign w:val="center"/>
          </w:tcPr>
          <w:p w14:paraId="5AF74C64" w14:textId="2C889305" w:rsidR="00DB09A8" w:rsidRDefault="00DB09A8" w:rsidP="008A4DC4">
            <w:pPr>
              <w:widowControl w:val="0"/>
              <w:spacing w:after="0" w:line="240" w:lineRule="auto"/>
              <w:jc w:val="center"/>
              <w:rPr>
                <w:rFonts w:ascii="Arial" w:eastAsia="Arial" w:hAnsi="Arial" w:cs="Arial"/>
                <w:sz w:val="20"/>
                <w:szCs w:val="20"/>
              </w:rPr>
            </w:pPr>
            <w:r>
              <w:rPr>
                <w:rFonts w:ascii="Calibri" w:eastAsia="Times New Roman" w:hAnsi="Calibri" w:cs="Calibri"/>
                <w:color w:val="000000"/>
                <w:lang w:eastAsia="cs-CZ"/>
              </w:rPr>
              <w:t>5G</w:t>
            </w:r>
          </w:p>
        </w:tc>
        <w:tc>
          <w:tcPr>
            <w:tcW w:w="146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C3A82A6" w14:textId="1E4B74C6"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6" w:space="0" w:color="CCCCCC"/>
              <w:left w:val="single" w:sz="6" w:space="0" w:color="CCCCCC"/>
              <w:bottom w:val="single" w:sz="6" w:space="0" w:color="000000"/>
              <w:right w:val="single" w:sz="6" w:space="0" w:color="000000"/>
            </w:tcBorders>
            <w:vAlign w:val="center"/>
          </w:tcPr>
          <w:p w14:paraId="13628A00" w14:textId="77777777" w:rsidR="00DB09A8" w:rsidRDefault="00DB09A8" w:rsidP="008A4DC4">
            <w:pPr>
              <w:widowControl w:val="0"/>
              <w:spacing w:after="0" w:line="240" w:lineRule="auto"/>
              <w:jc w:val="center"/>
              <w:rPr>
                <w:rFonts w:ascii="Arial" w:eastAsia="Arial" w:hAnsi="Arial" w:cs="Arial"/>
                <w:sz w:val="20"/>
                <w:szCs w:val="20"/>
              </w:rPr>
            </w:pPr>
          </w:p>
        </w:tc>
      </w:tr>
      <w:tr w:rsidR="00DB09A8" w14:paraId="14E954FE" w14:textId="4654CAE9" w:rsidTr="008A4DC4">
        <w:trPr>
          <w:trHeight w:val="340"/>
        </w:trPr>
        <w:tc>
          <w:tcPr>
            <w:tcW w:w="1309" w:type="dxa"/>
            <w:tcBorders>
              <w:top w:val="single" w:sz="6" w:space="0" w:color="CCCCCC"/>
              <w:left w:val="single" w:sz="6" w:space="0" w:color="000000"/>
              <w:bottom w:val="single" w:sz="4" w:space="0" w:color="auto"/>
              <w:right w:val="single" w:sz="6" w:space="0" w:color="000000"/>
            </w:tcBorders>
            <w:shd w:val="clear" w:color="auto" w:fill="auto"/>
            <w:tcMar>
              <w:top w:w="40" w:type="dxa"/>
              <w:left w:w="40" w:type="dxa"/>
              <w:bottom w:w="40" w:type="dxa"/>
              <w:right w:w="40" w:type="dxa"/>
            </w:tcMar>
            <w:vAlign w:val="center"/>
          </w:tcPr>
          <w:p w14:paraId="2F99EF95" w14:textId="77F7DD43" w:rsidR="00DB09A8" w:rsidRDefault="00DB09A8" w:rsidP="00544EB6">
            <w:pPr>
              <w:widowControl w:val="0"/>
              <w:spacing w:after="0" w:line="240" w:lineRule="auto"/>
              <w:jc w:val="center"/>
              <w:rPr>
                <w:rFonts w:ascii="Arial" w:eastAsia="Arial" w:hAnsi="Arial" w:cs="Arial"/>
                <w:sz w:val="20"/>
                <w:szCs w:val="20"/>
              </w:rPr>
            </w:pPr>
          </w:p>
        </w:tc>
        <w:tc>
          <w:tcPr>
            <w:tcW w:w="1310" w:type="dxa"/>
            <w:tcBorders>
              <w:top w:val="single" w:sz="6" w:space="0" w:color="CCCCCC"/>
              <w:left w:val="single" w:sz="6" w:space="0" w:color="CCCCCC"/>
              <w:bottom w:val="single" w:sz="4" w:space="0" w:color="auto"/>
              <w:right w:val="single" w:sz="6" w:space="0" w:color="000000"/>
            </w:tcBorders>
            <w:shd w:val="clear" w:color="auto" w:fill="E0F1FC"/>
            <w:tcMar>
              <w:top w:w="40" w:type="dxa"/>
              <w:left w:w="40" w:type="dxa"/>
              <w:bottom w:w="40" w:type="dxa"/>
              <w:right w:w="40" w:type="dxa"/>
            </w:tcMar>
            <w:vAlign w:val="center"/>
          </w:tcPr>
          <w:p w14:paraId="3F88FB0D" w14:textId="611181C6" w:rsidR="00DB09A8" w:rsidRDefault="00DB09A8" w:rsidP="008A4DC4">
            <w:pPr>
              <w:widowControl w:val="0"/>
              <w:spacing w:after="0" w:line="240" w:lineRule="auto"/>
              <w:jc w:val="center"/>
              <w:rPr>
                <w:rFonts w:ascii="Arial" w:eastAsia="Arial" w:hAnsi="Arial" w:cs="Arial"/>
                <w:sz w:val="20"/>
                <w:szCs w:val="20"/>
              </w:rPr>
            </w:pPr>
            <w:r w:rsidRPr="00410162">
              <w:rPr>
                <w:rFonts w:ascii="Calibri" w:eastAsia="Times New Roman" w:hAnsi="Calibri" w:cs="Calibri"/>
                <w:color w:val="000000"/>
                <w:lang w:eastAsia="cs-CZ"/>
              </w:rPr>
              <w:t>COVID</w:t>
            </w:r>
          </w:p>
        </w:tc>
        <w:tc>
          <w:tcPr>
            <w:tcW w:w="1310"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0513E5FC" w14:textId="0CAD5B94" w:rsidR="00DB09A8" w:rsidRDefault="00DB09A8" w:rsidP="008A4DC4">
            <w:pPr>
              <w:widowControl w:val="0"/>
              <w:spacing w:after="0" w:line="240" w:lineRule="auto"/>
              <w:jc w:val="center"/>
              <w:rPr>
                <w:rFonts w:ascii="Arial" w:eastAsia="Arial" w:hAnsi="Arial" w:cs="Arial"/>
                <w:sz w:val="20"/>
                <w:szCs w:val="20"/>
              </w:rPr>
            </w:pPr>
          </w:p>
        </w:tc>
        <w:tc>
          <w:tcPr>
            <w:tcW w:w="1311"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676ABA3A" w14:textId="2012CF74" w:rsidR="00DB09A8" w:rsidRDefault="00DB09A8" w:rsidP="008A4DC4">
            <w:pPr>
              <w:widowControl w:val="0"/>
              <w:spacing w:after="0" w:line="240" w:lineRule="auto"/>
              <w:jc w:val="center"/>
              <w:rPr>
                <w:rFonts w:ascii="Arial" w:eastAsia="Arial" w:hAnsi="Arial" w:cs="Arial"/>
                <w:sz w:val="20"/>
                <w:szCs w:val="20"/>
              </w:rPr>
            </w:pPr>
          </w:p>
        </w:tc>
        <w:tc>
          <w:tcPr>
            <w:tcW w:w="1464" w:type="dxa"/>
            <w:gridSpan w:val="2"/>
            <w:tcBorders>
              <w:top w:val="single" w:sz="6" w:space="0" w:color="CCCCCC"/>
              <w:left w:val="single" w:sz="6" w:space="0" w:color="CCCCCC"/>
              <w:bottom w:val="single" w:sz="4" w:space="0" w:color="auto"/>
              <w:right w:val="single" w:sz="6" w:space="0" w:color="000000"/>
            </w:tcBorders>
            <w:shd w:val="clear" w:color="auto" w:fill="E0F1FC"/>
            <w:tcMar>
              <w:top w:w="40" w:type="dxa"/>
              <w:left w:w="40" w:type="dxa"/>
              <w:bottom w:w="40" w:type="dxa"/>
              <w:right w:w="40" w:type="dxa"/>
            </w:tcMar>
            <w:vAlign w:val="center"/>
          </w:tcPr>
          <w:p w14:paraId="0477406E" w14:textId="68746790" w:rsidR="00DB09A8" w:rsidRDefault="00DB09A8" w:rsidP="008A4DC4">
            <w:pPr>
              <w:widowControl w:val="0"/>
              <w:spacing w:after="0" w:line="240" w:lineRule="auto"/>
              <w:jc w:val="center"/>
              <w:rPr>
                <w:rFonts w:ascii="Arial" w:eastAsia="Arial" w:hAnsi="Arial" w:cs="Arial"/>
                <w:sz w:val="20"/>
                <w:szCs w:val="20"/>
              </w:rPr>
            </w:pPr>
            <w:r w:rsidRPr="00410162">
              <w:rPr>
                <w:rFonts w:ascii="Calibri" w:eastAsia="Times New Roman" w:hAnsi="Calibri" w:cs="Calibri"/>
                <w:color w:val="000000"/>
                <w:lang w:eastAsia="cs-CZ"/>
              </w:rPr>
              <w:t>COVID</w:t>
            </w:r>
          </w:p>
        </w:tc>
        <w:tc>
          <w:tcPr>
            <w:tcW w:w="1465"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6DEF6B03" w14:textId="63646FEB"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6" w:space="0" w:color="CCCCCC"/>
              <w:left w:val="single" w:sz="6" w:space="0" w:color="CCCCCC"/>
              <w:bottom w:val="single" w:sz="4" w:space="0" w:color="auto"/>
              <w:right w:val="single" w:sz="6" w:space="0" w:color="000000"/>
            </w:tcBorders>
            <w:vAlign w:val="center"/>
          </w:tcPr>
          <w:p w14:paraId="3DF92D3A" w14:textId="77777777" w:rsidR="00DB09A8" w:rsidRDefault="00DB09A8" w:rsidP="008A4DC4">
            <w:pPr>
              <w:widowControl w:val="0"/>
              <w:spacing w:after="0" w:line="240" w:lineRule="auto"/>
              <w:jc w:val="center"/>
              <w:rPr>
                <w:rFonts w:ascii="Arial" w:eastAsia="Arial" w:hAnsi="Arial" w:cs="Arial"/>
                <w:sz w:val="20"/>
                <w:szCs w:val="20"/>
              </w:rPr>
            </w:pPr>
          </w:p>
        </w:tc>
      </w:tr>
      <w:tr w:rsidR="00DB09A8" w14:paraId="434503D1" w14:textId="1B48E915" w:rsidTr="008A4DC4">
        <w:trPr>
          <w:trHeight w:val="340"/>
        </w:trPr>
        <w:tc>
          <w:tcPr>
            <w:tcW w:w="130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566E5456" w14:textId="1A07F212" w:rsidR="00DB09A8" w:rsidRDefault="00DB09A8" w:rsidP="00544EB6">
            <w:pPr>
              <w:widowControl w:val="0"/>
              <w:spacing w:after="0" w:line="240" w:lineRule="auto"/>
              <w:jc w:val="center"/>
              <w:rPr>
                <w:rFonts w:ascii="Arial" w:eastAsia="Arial" w:hAnsi="Arial" w:cs="Arial"/>
                <w:sz w:val="20"/>
                <w:szCs w:val="20"/>
              </w:rPr>
            </w:pPr>
          </w:p>
        </w:tc>
        <w:tc>
          <w:tcPr>
            <w:tcW w:w="1310"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61A64CB2" w14:textId="27E5129E" w:rsidR="00DB09A8" w:rsidRDefault="00DB09A8" w:rsidP="008A4DC4">
            <w:pPr>
              <w:widowControl w:val="0"/>
              <w:spacing w:after="0" w:line="240" w:lineRule="auto"/>
              <w:jc w:val="center"/>
              <w:rPr>
                <w:rFonts w:ascii="Arial" w:eastAsia="Arial" w:hAnsi="Arial" w:cs="Arial"/>
                <w:sz w:val="20"/>
                <w:szCs w:val="20"/>
              </w:rPr>
            </w:pPr>
          </w:p>
        </w:tc>
        <w:tc>
          <w:tcPr>
            <w:tcW w:w="1310" w:type="dxa"/>
            <w:tcBorders>
              <w:top w:val="single" w:sz="4" w:space="0" w:color="auto"/>
              <w:left w:val="single" w:sz="4" w:space="0" w:color="auto"/>
              <w:bottom w:val="single" w:sz="4" w:space="0" w:color="auto"/>
              <w:right w:val="single" w:sz="4" w:space="0" w:color="auto"/>
            </w:tcBorders>
            <w:shd w:val="clear" w:color="auto" w:fill="E0F1FC"/>
            <w:tcMar>
              <w:top w:w="40" w:type="dxa"/>
              <w:left w:w="40" w:type="dxa"/>
              <w:bottom w:w="40" w:type="dxa"/>
              <w:right w:w="40" w:type="dxa"/>
            </w:tcMar>
            <w:vAlign w:val="center"/>
          </w:tcPr>
          <w:p w14:paraId="43D92041" w14:textId="0565919B" w:rsidR="00DB09A8" w:rsidRDefault="008A4DC4" w:rsidP="008A4DC4">
            <w:pPr>
              <w:widowControl w:val="0"/>
              <w:spacing w:after="0" w:line="240" w:lineRule="auto"/>
              <w:jc w:val="center"/>
              <w:rPr>
                <w:rFonts w:ascii="Arial" w:eastAsia="Arial" w:hAnsi="Arial" w:cs="Arial"/>
                <w:sz w:val="20"/>
                <w:szCs w:val="20"/>
              </w:rPr>
            </w:pPr>
            <w:r>
              <w:rPr>
                <w:rFonts w:ascii="Calibri" w:eastAsia="Times New Roman" w:hAnsi="Calibri" w:cs="Calibri"/>
                <w:color w:val="000000"/>
                <w:lang w:eastAsia="cs-CZ"/>
              </w:rPr>
              <w:t>Green Deal</w:t>
            </w:r>
          </w:p>
        </w:tc>
        <w:tc>
          <w:tcPr>
            <w:tcW w:w="1311"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7BB74469" w14:textId="3E200A56" w:rsidR="00DB09A8" w:rsidRDefault="00DB09A8" w:rsidP="008A4DC4">
            <w:pPr>
              <w:widowControl w:val="0"/>
              <w:spacing w:after="0" w:line="240" w:lineRule="auto"/>
              <w:jc w:val="center"/>
              <w:rPr>
                <w:rFonts w:ascii="Arial" w:eastAsia="Arial" w:hAnsi="Arial" w:cs="Arial"/>
                <w:sz w:val="20"/>
                <w:szCs w:val="20"/>
              </w:rPr>
            </w:pP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40C87870" w14:textId="71BEC1DC"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65C14A1C" w14:textId="7AF05A22"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4" w:space="0" w:color="auto"/>
              <w:left w:val="single" w:sz="4" w:space="0" w:color="auto"/>
              <w:bottom w:val="single" w:sz="4" w:space="0" w:color="auto"/>
              <w:right w:val="single" w:sz="4" w:space="0" w:color="auto"/>
            </w:tcBorders>
            <w:vAlign w:val="center"/>
          </w:tcPr>
          <w:p w14:paraId="57228A64" w14:textId="77777777" w:rsidR="00DB09A8" w:rsidRDefault="00DB09A8" w:rsidP="008A4DC4">
            <w:pPr>
              <w:widowControl w:val="0"/>
              <w:spacing w:after="0" w:line="240" w:lineRule="auto"/>
              <w:jc w:val="center"/>
              <w:rPr>
                <w:rFonts w:ascii="Arial" w:eastAsia="Arial" w:hAnsi="Arial" w:cs="Arial"/>
                <w:sz w:val="20"/>
                <w:szCs w:val="20"/>
              </w:rPr>
            </w:pPr>
          </w:p>
        </w:tc>
      </w:tr>
      <w:tr w:rsidR="00DB09A8" w14:paraId="2F1F4136" w14:textId="63240E45" w:rsidTr="008A4DC4">
        <w:trPr>
          <w:trHeight w:val="340"/>
        </w:trPr>
        <w:tc>
          <w:tcPr>
            <w:tcW w:w="130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713AC931" w14:textId="77777777" w:rsidR="00DB09A8" w:rsidRDefault="00DB09A8" w:rsidP="00544EB6">
            <w:pPr>
              <w:widowControl w:val="0"/>
              <w:spacing w:after="0" w:line="240" w:lineRule="auto"/>
              <w:jc w:val="center"/>
              <w:rPr>
                <w:rFonts w:ascii="Arial" w:eastAsia="Arial" w:hAnsi="Arial" w:cs="Arial"/>
                <w:sz w:val="20"/>
                <w:szCs w:val="20"/>
              </w:rPr>
            </w:pPr>
          </w:p>
        </w:tc>
        <w:tc>
          <w:tcPr>
            <w:tcW w:w="1310"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77455B20" w14:textId="77777777" w:rsidR="00DB09A8" w:rsidRDefault="00DB09A8" w:rsidP="008A4DC4">
            <w:pPr>
              <w:widowControl w:val="0"/>
              <w:spacing w:after="0" w:line="240" w:lineRule="auto"/>
              <w:jc w:val="center"/>
              <w:rPr>
                <w:rFonts w:ascii="Arial" w:eastAsia="Arial" w:hAnsi="Arial" w:cs="Arial"/>
                <w:sz w:val="20"/>
                <w:szCs w:val="20"/>
              </w:rPr>
            </w:pPr>
          </w:p>
        </w:tc>
        <w:tc>
          <w:tcPr>
            <w:tcW w:w="1310"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3AC5E46B" w14:textId="77777777" w:rsidR="00DB09A8" w:rsidRPr="00410162" w:rsidRDefault="00DB09A8" w:rsidP="008A4DC4">
            <w:pPr>
              <w:widowControl w:val="0"/>
              <w:spacing w:after="0" w:line="240" w:lineRule="auto"/>
              <w:jc w:val="center"/>
              <w:rPr>
                <w:rFonts w:ascii="Calibri" w:eastAsia="Times New Roman" w:hAnsi="Calibri" w:cs="Calibri"/>
                <w:color w:val="000000"/>
                <w:lang w:eastAsia="cs-CZ"/>
              </w:rPr>
            </w:pPr>
          </w:p>
        </w:tc>
        <w:tc>
          <w:tcPr>
            <w:tcW w:w="1311" w:type="dxa"/>
            <w:tcBorders>
              <w:top w:val="single" w:sz="4" w:space="0" w:color="auto"/>
              <w:left w:val="single" w:sz="4" w:space="0" w:color="auto"/>
              <w:bottom w:val="single" w:sz="4" w:space="0" w:color="auto"/>
              <w:right w:val="single" w:sz="4" w:space="0" w:color="auto"/>
            </w:tcBorders>
            <w:shd w:val="clear" w:color="auto" w:fill="E0F1FC"/>
            <w:tcMar>
              <w:top w:w="40" w:type="dxa"/>
              <w:left w:w="40" w:type="dxa"/>
              <w:bottom w:w="40" w:type="dxa"/>
              <w:right w:w="40" w:type="dxa"/>
            </w:tcMar>
            <w:vAlign w:val="center"/>
          </w:tcPr>
          <w:p w14:paraId="54D8B835" w14:textId="2C3E7782" w:rsidR="00DB09A8" w:rsidRDefault="00DB09A8" w:rsidP="008A4DC4">
            <w:pPr>
              <w:widowControl w:val="0"/>
              <w:spacing w:after="0" w:line="240" w:lineRule="auto"/>
              <w:jc w:val="center"/>
              <w:rPr>
                <w:rFonts w:ascii="Arial" w:eastAsia="Arial" w:hAnsi="Arial" w:cs="Arial"/>
                <w:sz w:val="20"/>
                <w:szCs w:val="20"/>
              </w:rPr>
            </w:pPr>
            <w:r w:rsidRPr="00410162">
              <w:rPr>
                <w:rFonts w:ascii="Calibri" w:eastAsia="Times New Roman" w:hAnsi="Calibri" w:cs="Calibri"/>
                <w:color w:val="000000"/>
                <w:lang w:eastAsia="cs-CZ"/>
              </w:rPr>
              <w:t>RIS3</w:t>
            </w:r>
            <w:r>
              <w:rPr>
                <w:rFonts w:ascii="Calibri" w:eastAsia="Times New Roman" w:hAnsi="Calibri" w:cs="Calibri"/>
                <w:color w:val="000000"/>
                <w:lang w:eastAsia="cs-CZ"/>
              </w:rPr>
              <w:t xml:space="preserve"> mise</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191FB335" w14:textId="77777777"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702AA595" w14:textId="1C352719" w:rsidR="00DB09A8" w:rsidRDefault="00DB09A8" w:rsidP="008A4DC4">
            <w:pPr>
              <w:widowControl w:val="0"/>
              <w:spacing w:after="0" w:line="240" w:lineRule="auto"/>
              <w:jc w:val="center"/>
              <w:rPr>
                <w:rFonts w:ascii="Arial" w:eastAsia="Arial" w:hAnsi="Arial" w:cs="Arial"/>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E0F1FC"/>
            <w:vAlign w:val="center"/>
          </w:tcPr>
          <w:p w14:paraId="79445523" w14:textId="3E29A25B" w:rsidR="00DB09A8" w:rsidRDefault="00DB09A8" w:rsidP="008A4DC4">
            <w:pPr>
              <w:widowControl w:val="0"/>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RIS3 </w:t>
            </w:r>
            <w:r w:rsidRPr="00410162">
              <w:rPr>
                <w:rFonts w:ascii="Calibri" w:eastAsia="Times New Roman" w:hAnsi="Calibri" w:cs="Calibri"/>
                <w:color w:val="000000"/>
                <w:lang w:eastAsia="cs-CZ"/>
              </w:rPr>
              <w:t>mise</w:t>
            </w:r>
          </w:p>
        </w:tc>
      </w:tr>
    </w:tbl>
    <w:p w14:paraId="4155B90E" w14:textId="5EBDA5EF" w:rsidR="00CB0D3F" w:rsidRDefault="00CB0D3F" w:rsidP="008A4DC4">
      <w:pPr>
        <w:spacing w:before="240" w:after="120"/>
        <w:jc w:val="both"/>
      </w:pPr>
      <w:r>
        <w:t>Vzhledem k</w:t>
      </w:r>
      <w:r w:rsidR="00CE7C79">
        <w:t> </w:t>
      </w:r>
      <w:r>
        <w:t>pestrosti použitých bonifikací je hodnocení jejich dopadů, tedy vlivu na výsledné pořadí projektů</w:t>
      </w:r>
      <w:r w:rsidR="00C56462">
        <w:t>, značně</w:t>
      </w:r>
      <w:r>
        <w:t xml:space="preserve"> obtížné</w:t>
      </w:r>
      <w:r w:rsidR="00C56462">
        <w:t>. P</w:t>
      </w:r>
      <w:r>
        <w:t>odrobně bude tato problematika vyhodnocena až v</w:t>
      </w:r>
      <w:r w:rsidR="00CE7C79">
        <w:t> </w:t>
      </w:r>
      <w:r>
        <w:t>rámci závěrečného hodnocení programu. Například v</w:t>
      </w:r>
      <w:r w:rsidR="00CE7C79">
        <w:t> </w:t>
      </w:r>
      <w:r>
        <w:t>10. VS bylo hodnoceno 367 návrhů projektů. Uchazeči mohli v</w:t>
      </w:r>
      <w:r w:rsidR="00CE7C79">
        <w:t> </w:t>
      </w:r>
      <w:r>
        <w:t>návrhu projektu požádat o</w:t>
      </w:r>
      <w:r w:rsidR="00CE7C79">
        <w:t> </w:t>
      </w:r>
      <w:r>
        <w:t xml:space="preserve">3 bonifikace: </w:t>
      </w:r>
    </w:p>
    <w:p w14:paraId="4325CF83" w14:textId="62032AB8" w:rsidR="00CB0D3F" w:rsidRDefault="00CB0D3F" w:rsidP="00CB0D3F">
      <w:pPr>
        <w:pStyle w:val="Odstavecseseznamem"/>
        <w:numPr>
          <w:ilvl w:val="0"/>
          <w:numId w:val="38"/>
        </w:numPr>
        <w:spacing w:after="120"/>
        <w:jc w:val="both"/>
      </w:pPr>
      <w:r>
        <w:t>Řešení ve strukturálně postiženém regionu (RE:START)</w:t>
      </w:r>
    </w:p>
    <w:p w14:paraId="5D07741D" w14:textId="0C26337C" w:rsidR="00CB0D3F" w:rsidRDefault="00CB0D3F" w:rsidP="00CB0D3F">
      <w:pPr>
        <w:pStyle w:val="Odstavecseseznamem"/>
        <w:numPr>
          <w:ilvl w:val="0"/>
          <w:numId w:val="38"/>
        </w:numPr>
        <w:spacing w:after="120"/>
        <w:jc w:val="both"/>
      </w:pPr>
      <w:r>
        <w:t xml:space="preserve">Naplňování principů iniciativy Průmyslu 4.0 </w:t>
      </w:r>
    </w:p>
    <w:p w14:paraId="4F5B3DB0" w14:textId="7A718434" w:rsidR="00CB0D3F" w:rsidRDefault="00CB0D3F" w:rsidP="00CB0D3F">
      <w:pPr>
        <w:pStyle w:val="Odstavecseseznamem"/>
        <w:numPr>
          <w:ilvl w:val="0"/>
          <w:numId w:val="38"/>
        </w:numPr>
        <w:spacing w:after="120"/>
        <w:jc w:val="both"/>
      </w:pPr>
      <w:r>
        <w:t>Cíl mise Národní RIS3 strategie</w:t>
      </w:r>
    </w:p>
    <w:p w14:paraId="3A1F0EC4" w14:textId="0086D4AC" w:rsidR="00CB0D3F" w:rsidRDefault="00CB0D3F" w:rsidP="00CB0D3F">
      <w:pPr>
        <w:spacing w:after="120"/>
        <w:jc w:val="both"/>
      </w:pPr>
      <w:r>
        <w:lastRenderedPageBreak/>
        <w:t>Bonifikace za Řešení ve strukturálně postiženém regionu byla udělena 58 projektům (16 % z</w:t>
      </w:r>
      <w:r w:rsidR="00CE7C79">
        <w:t> </w:t>
      </w:r>
      <w:r>
        <w:t>projektů přijatých do VS), za Naplňování principů iniciativy Průmyslu 4.0 byla udělena 165 projektům (45 % projektů přijatých do VS) a</w:t>
      </w:r>
      <w:r w:rsidR="00CE7C79">
        <w:t> </w:t>
      </w:r>
      <w:r>
        <w:t>za Cíl mise Národní RIS3 strategie byla udělena 52 projektům (14 % projektů přijatých do</w:t>
      </w:r>
      <w:r w:rsidR="00C56462">
        <w:t> </w:t>
      </w:r>
      <w:r>
        <w:t>VS). Vybráno k</w:t>
      </w:r>
      <w:r w:rsidR="00CE7C79">
        <w:t> </w:t>
      </w:r>
      <w:r>
        <w:t>podpoře bylo 125 návrhů projektů, z</w:t>
      </w:r>
      <w:r w:rsidR="00CE7C79">
        <w:t> </w:t>
      </w:r>
      <w:r>
        <w:t>toho 10 projektů bylo podpořeno díky uděleným bodům za splnění bonifikačních kritérií (bez bodového zisku za splněné bonifikace by těchto 10 projektů zůstalo „pod čarou“ a</w:t>
      </w:r>
      <w:r w:rsidR="00CE7C79">
        <w:t> </w:t>
      </w:r>
      <w:r>
        <w:t>nebylo by podpořeno).</w:t>
      </w:r>
    </w:p>
    <w:p w14:paraId="05FFE94E" w14:textId="5B12616A" w:rsidR="0020331D" w:rsidRDefault="00CB0D3F" w:rsidP="00CB0D3F">
      <w:pPr>
        <w:spacing w:after="120"/>
        <w:jc w:val="both"/>
      </w:pPr>
      <w:r>
        <w:t>Zajímavým aspektem je zcela odlišná „úspěšnost“ bonifikací, tedy podíl přiznaných bonifikací z</w:t>
      </w:r>
      <w:r w:rsidR="00CE7C79">
        <w:t> </w:t>
      </w:r>
      <w:r>
        <w:t>těch, o</w:t>
      </w:r>
      <w:r w:rsidR="00CE7C79">
        <w:t> </w:t>
      </w:r>
      <w:r>
        <w:t xml:space="preserve">které si uchazeči požádali. </w:t>
      </w:r>
      <w:r w:rsidR="0012228A">
        <w:t>V</w:t>
      </w:r>
      <w:r w:rsidR="00CE7C79">
        <w:t> </w:t>
      </w:r>
      <w:r w:rsidR="0012228A">
        <w:t>případě Řešení ve strukturálně postiženém regionu je bonifikace zpravidla přiznána, neboť se jedná o</w:t>
      </w:r>
      <w:r w:rsidR="00CE7C79">
        <w:t> </w:t>
      </w:r>
      <w:r w:rsidR="00C07A6B">
        <w:t xml:space="preserve">vysoce </w:t>
      </w:r>
      <w:r w:rsidR="0012228A">
        <w:t xml:space="preserve">objektivní </w:t>
      </w:r>
      <w:r w:rsidR="00C07A6B">
        <w:t>a</w:t>
      </w:r>
      <w:r w:rsidR="00CE7C79">
        <w:t> </w:t>
      </w:r>
      <w:r w:rsidR="00C07A6B">
        <w:t>vesměs snadno ověřitelný aspekt</w:t>
      </w:r>
      <w:r w:rsidR="0020331D">
        <w:t xml:space="preserve"> (a uchazeči se tedy o</w:t>
      </w:r>
      <w:r w:rsidR="00CE7C79">
        <w:t> </w:t>
      </w:r>
      <w:r w:rsidR="0020331D">
        <w:t>tuto bonifikaci zpravidla nepokoušejí, pokud na ni nárok nemají). V</w:t>
      </w:r>
      <w:r w:rsidR="00CE7C79">
        <w:t> </w:t>
      </w:r>
      <w:r w:rsidR="00C07A6B">
        <w:t xml:space="preserve">případě </w:t>
      </w:r>
      <w:r>
        <w:t>bonifikační</w:t>
      </w:r>
      <w:r w:rsidR="00C07A6B">
        <w:t>ch</w:t>
      </w:r>
      <w:r>
        <w:t xml:space="preserve"> kritéri</w:t>
      </w:r>
      <w:r w:rsidR="00C07A6B">
        <w:t xml:space="preserve">í za soulad </w:t>
      </w:r>
      <w:r w:rsidR="0020331D">
        <w:t>se strategickými dokumenty či vybranými prioritními oblastmi je situace jiná a</w:t>
      </w:r>
      <w:r w:rsidR="00CE7C79">
        <w:t> </w:t>
      </w:r>
      <w:r w:rsidR="0020331D">
        <w:t>řada uchazečů se o</w:t>
      </w:r>
      <w:r w:rsidR="00CE7C79">
        <w:t> </w:t>
      </w:r>
      <w:r w:rsidR="0020331D">
        <w:t>tyto bonifikace hlásí i</w:t>
      </w:r>
      <w:r w:rsidR="00CE7C79">
        <w:t> </w:t>
      </w:r>
      <w:r w:rsidR="0020331D">
        <w:t>neodůvodněně. Nejvíce se to projevilo v</w:t>
      </w:r>
      <w:r w:rsidR="00CE7C79">
        <w:t> </w:t>
      </w:r>
      <w:r w:rsidR="0020331D">
        <w:t>případě bonifikace za</w:t>
      </w:r>
      <w:r w:rsidR="00C07A6B">
        <w:t xml:space="preserve"> </w:t>
      </w:r>
      <w:r>
        <w:t>Cíl mise Národní RIS3 strategie</w:t>
      </w:r>
      <w:r w:rsidR="0020331D">
        <w:t>, o</w:t>
      </w:r>
      <w:r w:rsidR="00CE7C79">
        <w:t> </w:t>
      </w:r>
      <w:r w:rsidR="0020331D">
        <w:t>kterou</w:t>
      </w:r>
      <w:r>
        <w:t xml:space="preserve"> </w:t>
      </w:r>
      <w:r w:rsidR="0020331D">
        <w:t>v</w:t>
      </w:r>
      <w:r w:rsidR="00CE7C79">
        <w:t> </w:t>
      </w:r>
      <w:r w:rsidR="0020331D">
        <w:t>10.</w:t>
      </w:r>
      <w:r w:rsidR="00C56462">
        <w:t> </w:t>
      </w:r>
      <w:r w:rsidR="0020331D">
        <w:t xml:space="preserve">VS </w:t>
      </w:r>
      <w:r>
        <w:t>požádalo celkem 304 projektů (tedy 83 % projektů přijatých do VS), přiznána však byla jen u</w:t>
      </w:r>
      <w:r w:rsidR="00CE7C79">
        <w:t> </w:t>
      </w:r>
      <w:r>
        <w:t>cca 17</w:t>
      </w:r>
      <w:r w:rsidR="00C56462">
        <w:t> </w:t>
      </w:r>
      <w:r>
        <w:t>% z</w:t>
      </w:r>
      <w:r w:rsidR="00CE7C79">
        <w:t> </w:t>
      </w:r>
      <w:r>
        <w:t>nich.</w:t>
      </w:r>
      <w:r w:rsidR="0020331D">
        <w:t xml:space="preserve"> Zde nejvíce působil fakt, že samotné mise jsou nazvány poměrně obecně, jejich zaměření je však jasně vymezeno a</w:t>
      </w:r>
      <w:r w:rsidR="00CE7C79">
        <w:t> </w:t>
      </w:r>
      <w:r w:rsidR="0020331D">
        <w:t>uchazeč navíc musel naplňování vybrané mise předepsaným způsobem doložit (v řadě případů i</w:t>
      </w:r>
      <w:r w:rsidR="00CE7C79">
        <w:t> </w:t>
      </w:r>
      <w:r w:rsidR="0020331D">
        <w:t>vyčíslit dopad navrhovaného projektu apod.), což málokdy splnil.</w:t>
      </w:r>
    </w:p>
    <w:p w14:paraId="625AC00E" w14:textId="15ACDD99" w:rsidR="00614BA8" w:rsidRPr="00C56462" w:rsidRDefault="0020331D" w:rsidP="009F26B4">
      <w:pPr>
        <w:spacing w:after="120"/>
        <w:jc w:val="both"/>
      </w:pPr>
      <w:r>
        <w:t xml:space="preserve">Doplnit lze ještě fakt, že hodnocení naplnění bonifikačních kritérií je </w:t>
      </w:r>
      <w:r w:rsidR="002B23F8">
        <w:t>velmi</w:t>
      </w:r>
      <w:r w:rsidR="00C56462">
        <w:t xml:space="preserve"> kapacitně náročné. Klade značné nároky jak </w:t>
      </w:r>
      <w:r>
        <w:t>na odbornost hodnotitelů</w:t>
      </w:r>
      <w:r w:rsidR="00C56462">
        <w:t>, tak na jejich ochotu řádně si prostudovat podmínky samotných bonifikací i uchazečem dokládaná zdůvodnění. S</w:t>
      </w:r>
      <w:r w:rsidR="005C348E">
        <w:t>jednocení přístupu k</w:t>
      </w:r>
      <w:r w:rsidR="00CE7C79">
        <w:t> </w:t>
      </w:r>
      <w:r w:rsidR="005C348E">
        <w:t>přiznávání bonifikací a</w:t>
      </w:r>
      <w:r w:rsidR="00CE7C79">
        <w:t> </w:t>
      </w:r>
      <w:r w:rsidR="005C348E">
        <w:t xml:space="preserve">jejich jednotlivé potvrzování vyžaduje </w:t>
      </w:r>
      <w:r w:rsidR="002B23F8">
        <w:t>vysoké</w:t>
      </w:r>
      <w:r w:rsidR="005C348E">
        <w:t xml:space="preserve"> nasazení i</w:t>
      </w:r>
      <w:r w:rsidR="00CE7C79">
        <w:t> </w:t>
      </w:r>
      <w:r w:rsidR="005C348E">
        <w:t>na straně odborného poradního orgánu.</w:t>
      </w:r>
    </w:p>
    <w:p w14:paraId="0C30268A" w14:textId="16BE4F4B" w:rsidR="009F26B4" w:rsidRDefault="00BA19FE" w:rsidP="00AA3C29">
      <w:pPr>
        <w:pStyle w:val="Nadpis2"/>
      </w:pPr>
      <w:bookmarkStart w:id="15" w:name="_Toc185334556"/>
      <w:r>
        <w:t>Administrace</w:t>
      </w:r>
      <w:r w:rsidR="009F26B4">
        <w:t xml:space="preserve"> podpořených projektů</w:t>
      </w:r>
      <w:bookmarkEnd w:id="15"/>
    </w:p>
    <w:p w14:paraId="0CE9E1A8" w14:textId="253809A5" w:rsidR="007E7F04" w:rsidRDefault="007E7F04" w:rsidP="007E7F04">
      <w:pPr>
        <w:spacing w:after="120"/>
        <w:jc w:val="both"/>
        <w:rPr>
          <w:shd w:val="clear" w:color="auto" w:fill="93C47D"/>
        </w:rPr>
      </w:pPr>
      <w:r w:rsidRPr="007110AB">
        <w:t xml:space="preserve">Agendu poskytování účelové podpory projektů </w:t>
      </w:r>
      <w:r w:rsidR="00066172" w:rsidRPr="007110AB">
        <w:t xml:space="preserve">ve </w:t>
      </w:r>
      <w:r w:rsidRPr="007110AB">
        <w:t xml:space="preserve">VaV programech </w:t>
      </w:r>
      <w:r w:rsidR="00BA2423">
        <w:t xml:space="preserve">v TA ČR </w:t>
      </w:r>
      <w:r w:rsidRPr="007110AB">
        <w:t>standardně zabezpečuje útvar Oddělení monitoringu a</w:t>
      </w:r>
      <w:r w:rsidR="00CE7C79">
        <w:t> </w:t>
      </w:r>
      <w:r w:rsidRPr="007110AB">
        <w:t>administrace.</w:t>
      </w:r>
    </w:p>
    <w:p w14:paraId="0382B018" w14:textId="2E460A8D" w:rsidR="007E7F04" w:rsidRDefault="007E7F04" w:rsidP="007E7F04">
      <w:pPr>
        <w:spacing w:after="120"/>
        <w:jc w:val="both"/>
        <w:rPr>
          <w:shd w:val="clear" w:color="auto" w:fill="93C47D"/>
        </w:rPr>
      </w:pPr>
      <w:r w:rsidRPr="007110AB">
        <w:t xml:space="preserve">V </w:t>
      </w:r>
      <w:r w:rsidR="00F72B3A">
        <w:t>P</w:t>
      </w:r>
      <w:r w:rsidRPr="007110AB">
        <w:t>rogramu se zatím v</w:t>
      </w:r>
      <w:r w:rsidR="00CE7C79">
        <w:t> </w:t>
      </w:r>
      <w:r w:rsidRPr="007110AB">
        <w:t xml:space="preserve">rámci </w:t>
      </w:r>
      <w:r w:rsidR="00066172" w:rsidRPr="007110AB">
        <w:t xml:space="preserve">prvních </w:t>
      </w:r>
      <w:r w:rsidR="00BA2423">
        <w:t>deseti</w:t>
      </w:r>
      <w:r w:rsidRPr="007110AB">
        <w:t xml:space="preserve"> </w:t>
      </w:r>
      <w:r w:rsidR="00066172" w:rsidRPr="007110AB">
        <w:t>vyhodnocených</w:t>
      </w:r>
      <w:r w:rsidRPr="007110AB">
        <w:t xml:space="preserve"> soutěží uzavřelo </w:t>
      </w:r>
      <w:r w:rsidR="00BA2423">
        <w:t>670</w:t>
      </w:r>
      <w:r w:rsidRPr="007110AB">
        <w:t xml:space="preserve"> </w:t>
      </w:r>
      <w:r w:rsidR="00BA2423">
        <w:t>s</w:t>
      </w:r>
      <w:r w:rsidRPr="007110AB">
        <w:t>mluv o</w:t>
      </w:r>
      <w:r w:rsidR="00CE7C79">
        <w:t> </w:t>
      </w:r>
      <w:r w:rsidRPr="007110AB">
        <w:t>poskytnutí podpory.</w:t>
      </w:r>
      <w:r w:rsidR="00EA2688">
        <w:t xml:space="preserve"> Za dosavadní dobu realizace </w:t>
      </w:r>
      <w:r w:rsidR="00F72B3A">
        <w:t>P</w:t>
      </w:r>
      <w:r w:rsidR="00EA2688">
        <w:t>rogramu došlo k</w:t>
      </w:r>
      <w:r w:rsidR="00CE7C79">
        <w:t> </w:t>
      </w:r>
      <w:r w:rsidR="00EA2688">
        <w:t>odstoupení od</w:t>
      </w:r>
      <w:r w:rsidR="00BA2423">
        <w:t> </w:t>
      </w:r>
      <w:r w:rsidR="00EA2688">
        <w:t>podpisu smlouvy u</w:t>
      </w:r>
      <w:r w:rsidR="00CE7C79">
        <w:t> </w:t>
      </w:r>
      <w:r w:rsidR="00BA2423">
        <w:t>21</w:t>
      </w:r>
      <w:r w:rsidR="00EA2688">
        <w:t xml:space="preserve"> z</w:t>
      </w:r>
      <w:r w:rsidR="00CE7C79">
        <w:t> </w:t>
      </w:r>
      <w:r w:rsidR="00EA2688">
        <w:t>projektů doporučených k</w:t>
      </w:r>
      <w:r w:rsidR="00CE7C79">
        <w:t> </w:t>
      </w:r>
      <w:r w:rsidR="00EA2688">
        <w:t>podpoře a</w:t>
      </w:r>
      <w:r w:rsidR="00CE7C79">
        <w:t> </w:t>
      </w:r>
      <w:r w:rsidR="00BA2423">
        <w:t>10</w:t>
      </w:r>
      <w:r w:rsidRPr="007110AB">
        <w:t xml:space="preserve"> </w:t>
      </w:r>
      <w:r w:rsidR="00EA2688">
        <w:t>z</w:t>
      </w:r>
      <w:r w:rsidR="00CE7C79">
        <w:t> </w:t>
      </w:r>
      <w:r w:rsidR="00EA2688">
        <w:t xml:space="preserve">podpořených </w:t>
      </w:r>
      <w:r w:rsidRPr="007110AB">
        <w:t>projektů bylo předčasně ukončeno</w:t>
      </w:r>
      <w:r w:rsidRPr="00BA2423">
        <w:t xml:space="preserve">. </w:t>
      </w:r>
      <w:r w:rsidR="00BA2423" w:rsidRPr="00BA2423">
        <w:t>Ve fázi realizace se aktuálně nachází 403 projektů a ve fázi implementace 223 projektů. 28 projektů čeká na vyhodnocení realizace a 4 na vyhodnocení implementace. Celkem 2 projekty jsou již ukončené.</w:t>
      </w:r>
    </w:p>
    <w:p w14:paraId="6BC914D3" w14:textId="77777777" w:rsidR="007110AB" w:rsidRDefault="007E7F04" w:rsidP="008A4DC4">
      <w:pPr>
        <w:spacing w:after="0"/>
        <w:contextualSpacing/>
        <w:jc w:val="both"/>
      </w:pPr>
      <w:r w:rsidRPr="007110AB">
        <w:t>Administrace projektů zahrnuje</w:t>
      </w:r>
    </w:p>
    <w:p w14:paraId="3CEA0C3C" w14:textId="44B74DB4" w:rsidR="00BA2423" w:rsidRDefault="00BA2423" w:rsidP="007110AB">
      <w:pPr>
        <w:pStyle w:val="Odstavecseseznamem"/>
        <w:numPr>
          <w:ilvl w:val="0"/>
          <w:numId w:val="37"/>
        </w:numPr>
        <w:spacing w:after="120"/>
        <w:jc w:val="both"/>
      </w:pPr>
      <w:r>
        <w:t>podepisování smluv s příjemci</w:t>
      </w:r>
    </w:p>
    <w:p w14:paraId="42D168F0" w14:textId="0F75FFFB" w:rsidR="007110AB" w:rsidRDefault="007110AB" w:rsidP="007110AB">
      <w:pPr>
        <w:pStyle w:val="Odstavecseseznamem"/>
        <w:numPr>
          <w:ilvl w:val="0"/>
          <w:numId w:val="37"/>
        </w:numPr>
        <w:spacing w:after="120"/>
        <w:jc w:val="both"/>
      </w:pPr>
      <w:r>
        <w:t>monitoring průběžných a</w:t>
      </w:r>
      <w:r w:rsidR="00CE7C79">
        <w:t> </w:t>
      </w:r>
      <w:r>
        <w:t xml:space="preserve">závěrečných zpráv, </w:t>
      </w:r>
    </w:p>
    <w:p w14:paraId="76B393B4" w14:textId="00B094E0" w:rsidR="007110AB" w:rsidRDefault="007110AB" w:rsidP="007110AB">
      <w:pPr>
        <w:pStyle w:val="Odstavecseseznamem"/>
        <w:numPr>
          <w:ilvl w:val="0"/>
          <w:numId w:val="37"/>
        </w:numPr>
        <w:spacing w:after="120"/>
        <w:jc w:val="both"/>
      </w:pPr>
      <w:r>
        <w:t>změnová řízení projektů,</w:t>
      </w:r>
    </w:p>
    <w:p w14:paraId="62365C65" w14:textId="5EA89FBC" w:rsidR="007110AB" w:rsidRDefault="007110AB" w:rsidP="007110AB">
      <w:pPr>
        <w:pStyle w:val="Odstavecseseznamem"/>
        <w:numPr>
          <w:ilvl w:val="0"/>
          <w:numId w:val="37"/>
        </w:numPr>
        <w:spacing w:after="120"/>
        <w:jc w:val="both"/>
      </w:pPr>
      <w:r>
        <w:t>kontroly formou monitorovacích návštěv či průběžných oponentních řízení (viz níže),</w:t>
      </w:r>
    </w:p>
    <w:p w14:paraId="47AA35D3" w14:textId="2506D2D5" w:rsidR="007E7F04" w:rsidRPr="007110AB" w:rsidRDefault="007110AB" w:rsidP="007110AB">
      <w:pPr>
        <w:pStyle w:val="Odstavecseseznamem"/>
        <w:numPr>
          <w:ilvl w:val="0"/>
          <w:numId w:val="37"/>
        </w:numPr>
        <w:spacing w:after="120"/>
        <w:jc w:val="both"/>
        <w:rPr>
          <w:shd w:val="clear" w:color="auto" w:fill="93C47D"/>
        </w:rPr>
      </w:pPr>
      <w:r>
        <w:t>uzavírání projektů závěrečným oponentním řízením.</w:t>
      </w:r>
    </w:p>
    <w:p w14:paraId="4C32303F" w14:textId="2EB66AFA" w:rsidR="007E7F04" w:rsidRDefault="007E7F04" w:rsidP="007E7F04">
      <w:pPr>
        <w:spacing w:after="120"/>
        <w:jc w:val="both"/>
        <w:rPr>
          <w:shd w:val="clear" w:color="auto" w:fill="93C47D"/>
        </w:rPr>
      </w:pPr>
      <w:r w:rsidRPr="007110AB">
        <w:t>Oddělení také poskytuje informace příjemcům prostřednictvím přímé komunikace referentů s</w:t>
      </w:r>
      <w:r w:rsidR="00CE7C79">
        <w:t> </w:t>
      </w:r>
      <w:r w:rsidRPr="007110AB">
        <w:t>příjemci (email, telefon</w:t>
      </w:r>
      <w:r w:rsidR="00BA2423">
        <w:t>, nově i osobní konzultace</w:t>
      </w:r>
      <w:r w:rsidRPr="007110AB">
        <w:t>), zodpovídání dotazů na HelpDesku a</w:t>
      </w:r>
      <w:r w:rsidR="00CE7C79">
        <w:t> </w:t>
      </w:r>
      <w:r w:rsidRPr="007110AB">
        <w:t>pravidelných webinářů pro příjemce (min</w:t>
      </w:r>
      <w:r w:rsidR="001930A9" w:rsidRPr="007110AB">
        <w:t>imálně</w:t>
      </w:r>
      <w:r w:rsidRPr="007110AB">
        <w:t xml:space="preserve"> dvakrát za rok</w:t>
      </w:r>
      <w:r w:rsidR="007110AB">
        <w:t>).</w:t>
      </w:r>
    </w:p>
    <w:p w14:paraId="3C71BC00" w14:textId="0D87BCDE" w:rsidR="007E7F04" w:rsidRDefault="007E7F04" w:rsidP="007E7F04">
      <w:pPr>
        <w:jc w:val="both"/>
        <w:rPr>
          <w:shd w:val="clear" w:color="auto" w:fill="93C47D"/>
        </w:rPr>
      </w:pPr>
      <w:r w:rsidRPr="003A2A7D">
        <w:t xml:space="preserve">Specifickou podmínkou </w:t>
      </w:r>
      <w:r w:rsidR="00E97BA4">
        <w:t xml:space="preserve">MPO </w:t>
      </w:r>
      <w:r w:rsidRPr="003A2A7D">
        <w:t xml:space="preserve">pro realizaci projektů </w:t>
      </w:r>
      <w:r w:rsidR="00E97BA4">
        <w:t>bylo</w:t>
      </w:r>
      <w:r w:rsidRPr="003A2A7D">
        <w:t xml:space="preserve"> roční </w:t>
      </w:r>
      <w:r w:rsidR="00E97BA4">
        <w:t xml:space="preserve">finanční </w:t>
      </w:r>
      <w:r w:rsidRPr="003A2A7D">
        <w:t xml:space="preserve">vypořádání </w:t>
      </w:r>
      <w:r w:rsidR="00E97BA4">
        <w:t xml:space="preserve">dotace </w:t>
      </w:r>
      <w:r w:rsidRPr="003A2A7D">
        <w:t>s</w:t>
      </w:r>
      <w:r w:rsidR="00E97BA4">
        <w:t> </w:t>
      </w:r>
      <w:r w:rsidRPr="003A2A7D">
        <w:t>poskytovatelem</w:t>
      </w:r>
      <w:r w:rsidR="00E97BA4">
        <w:t xml:space="preserve">. Tento režim byl po dohodě s MPO sjednocen v průběhu roku 2024, neboť oba poskytovatelé ve svých programech uplatňují </w:t>
      </w:r>
      <w:r w:rsidR="00E97BA4" w:rsidRPr="003A2A7D">
        <w:t>vypořádá</w:t>
      </w:r>
      <w:r w:rsidR="00E97BA4">
        <w:t xml:space="preserve">ní </w:t>
      </w:r>
      <w:r w:rsidR="00E97BA4" w:rsidRPr="003A2A7D">
        <w:t xml:space="preserve">se státním rozpočtem </w:t>
      </w:r>
      <w:r w:rsidR="00E97BA4">
        <w:t>až na konci</w:t>
      </w:r>
      <w:r w:rsidR="00E97BA4" w:rsidRPr="003A2A7D">
        <w:t xml:space="preserve"> realizace projektu.</w:t>
      </w:r>
    </w:p>
    <w:p w14:paraId="21208A49" w14:textId="14909532" w:rsidR="00EF2CED" w:rsidRDefault="00E97BA4" w:rsidP="00EF2CED">
      <w:pPr>
        <w:jc w:val="both"/>
        <w:rPr>
          <w:shd w:val="clear" w:color="auto" w:fill="93C47D"/>
        </w:rPr>
      </w:pPr>
      <w:r>
        <w:lastRenderedPageBreak/>
        <w:t>Odlišností od všeobecných podmínek TA ČR, která byla uplatněna o</w:t>
      </w:r>
      <w:r w:rsidR="007E7F04" w:rsidRPr="003A2A7D">
        <w:t>d 6. VS</w:t>
      </w:r>
      <w:r>
        <w:t xml:space="preserve">, </w:t>
      </w:r>
      <w:r w:rsidR="007E7F04" w:rsidRPr="003A2A7D">
        <w:t>je metoda vykazování nepřímých nákladů</w:t>
      </w:r>
      <w:r>
        <w:t xml:space="preserve">. V programu TREND lze </w:t>
      </w:r>
      <w:r w:rsidR="007E7F04" w:rsidRPr="003A2A7D">
        <w:t>nepřímé náklady vykazovat pouze metodou “flat rate”</w:t>
      </w:r>
      <w:r w:rsidR="000E4D2E" w:rsidRPr="003A2A7D">
        <w:t>,</w:t>
      </w:r>
      <w:r w:rsidR="007E7F04" w:rsidRPr="003A2A7D">
        <w:t xml:space="preserve"> a</w:t>
      </w:r>
      <w:r w:rsidR="00CE7C79">
        <w:t> </w:t>
      </w:r>
      <w:r w:rsidR="007E7F04" w:rsidRPr="003A2A7D">
        <w:t>to do výše 20 %</w:t>
      </w:r>
      <w:r w:rsidRPr="00E97BA4">
        <w:t xml:space="preserve"> ze</w:t>
      </w:r>
      <w:r>
        <w:t> </w:t>
      </w:r>
      <w:r w:rsidRPr="00E97BA4">
        <w:t>součtu skutečně vykázaných osobních nákladů a ostatních přímých nákladů projektu daného příjemce v</w:t>
      </w:r>
      <w:r>
        <w:t> </w:t>
      </w:r>
      <w:r w:rsidRPr="00E97BA4">
        <w:t>příslušném roce.</w:t>
      </w:r>
      <w:r w:rsidR="007E7F04">
        <w:rPr>
          <w:shd w:val="clear" w:color="auto" w:fill="93C47D"/>
        </w:rPr>
        <w:t xml:space="preserve"> </w:t>
      </w:r>
    </w:p>
    <w:p w14:paraId="197CDFB4" w14:textId="6A19B507" w:rsidR="009A666F" w:rsidRDefault="003A2A7D" w:rsidP="00EF2CED">
      <w:pPr>
        <w:jc w:val="both"/>
        <w:rPr>
          <w:i/>
          <w:highlight w:val="yellow"/>
        </w:rPr>
      </w:pPr>
      <w:r w:rsidRPr="003A2A7D">
        <w:t>Náklady spojené s</w:t>
      </w:r>
      <w:r w:rsidR="00CE7C79">
        <w:t> </w:t>
      </w:r>
      <w:r w:rsidRPr="003A2A7D">
        <w:t xml:space="preserve">hodnocením návrhů projektů podaných </w:t>
      </w:r>
      <w:r>
        <w:t>do 1. až 1</w:t>
      </w:r>
      <w:r w:rsidR="00BA2423">
        <w:t>2</w:t>
      </w:r>
      <w:r>
        <w:t>. VS, tedy náklady na zhotovení oponentních posudků, stanovisek zpravodajů a</w:t>
      </w:r>
      <w:r w:rsidR="00CE7C79">
        <w:t> </w:t>
      </w:r>
      <w:r w:rsidRPr="003A2A7D">
        <w:t>zasedání Rady programu</w:t>
      </w:r>
      <w:r>
        <w:t>, dosáh</w:t>
      </w:r>
      <w:r w:rsidR="00BA2423">
        <w:t>nou</w:t>
      </w:r>
      <w:r>
        <w:t xml:space="preserve"> téměř </w:t>
      </w:r>
      <w:r w:rsidR="00BA2423">
        <w:t>30,5</w:t>
      </w:r>
      <w:r>
        <w:t xml:space="preserve"> mil. Kč. </w:t>
      </w:r>
      <w:r w:rsidR="007E7F04" w:rsidRPr="007E7F04">
        <w:t xml:space="preserve">Finanční náklady </w:t>
      </w:r>
      <w:r w:rsidR="001930A9">
        <w:t xml:space="preserve">na </w:t>
      </w:r>
      <w:r w:rsidRPr="007E7F04">
        <w:t xml:space="preserve">odměny externích pracovníků </w:t>
      </w:r>
      <w:r>
        <w:t>v</w:t>
      </w:r>
      <w:r w:rsidR="00CE7C79">
        <w:t> </w:t>
      </w:r>
      <w:r>
        <w:t xml:space="preserve">následné </w:t>
      </w:r>
      <w:r w:rsidR="007E7F04" w:rsidRPr="007E7F04">
        <w:t>administraci</w:t>
      </w:r>
      <w:r>
        <w:t xml:space="preserve"> podpořených projektů</w:t>
      </w:r>
      <w:r w:rsidR="007E7F04" w:rsidRPr="007E7F04">
        <w:t>, tedy především na</w:t>
      </w:r>
      <w:r w:rsidR="00E97BA4">
        <w:t> </w:t>
      </w:r>
      <w:r w:rsidR="007E7F04" w:rsidRPr="007E7F04">
        <w:t>průběžné hodnocení</w:t>
      </w:r>
      <w:r>
        <w:t xml:space="preserve"> a</w:t>
      </w:r>
      <w:r w:rsidR="00CE7C79">
        <w:t> </w:t>
      </w:r>
      <w:r w:rsidR="007E7F04" w:rsidRPr="007E7F04">
        <w:t>účast na kontrolách</w:t>
      </w:r>
      <w:r>
        <w:t xml:space="preserve">, </w:t>
      </w:r>
      <w:r w:rsidR="00E73630">
        <w:t>v období 2020 až 202</w:t>
      </w:r>
      <w:r w:rsidR="00BA2423">
        <w:t>4</w:t>
      </w:r>
      <w:r w:rsidR="00E73630">
        <w:t xml:space="preserve"> </w:t>
      </w:r>
      <w:r>
        <w:t xml:space="preserve">překročily </w:t>
      </w:r>
      <w:r w:rsidR="00BA2423">
        <w:t>5</w:t>
      </w:r>
      <w:r>
        <w:t xml:space="preserve"> mil. Kč.</w:t>
      </w:r>
      <w:r>
        <w:rPr>
          <w:i/>
          <w:highlight w:val="yellow"/>
        </w:rPr>
        <w:t xml:space="preserve"> </w:t>
      </w:r>
    </w:p>
    <w:p w14:paraId="4B0F5685" w14:textId="79769DA3" w:rsidR="00DF597A" w:rsidRDefault="00DF597A" w:rsidP="00AA3C29">
      <w:pPr>
        <w:pStyle w:val="Nadpis2"/>
        <w:rPr>
          <w:rFonts w:eastAsiaTheme="minorHAnsi"/>
        </w:rPr>
      </w:pPr>
      <w:bookmarkStart w:id="16" w:name="_Toc185334557"/>
      <w:r>
        <w:rPr>
          <w:rFonts w:eastAsiaTheme="minorHAnsi"/>
        </w:rPr>
        <w:t>Národní plán obnovy</w:t>
      </w:r>
      <w:bookmarkEnd w:id="16"/>
    </w:p>
    <w:p w14:paraId="46549031" w14:textId="4FB07AAC" w:rsidR="00F02EF4" w:rsidRDefault="007E7F04" w:rsidP="007E7F04">
      <w:pPr>
        <w:jc w:val="both"/>
      </w:pPr>
      <w:r w:rsidRPr="007E7F04">
        <w:t>V roce 2021 byl schválen Národní plán obnovy (NPO), jehož některé komponenty jsou zaměřené na výzkum, vývoj a</w:t>
      </w:r>
      <w:r w:rsidR="00CE7C79">
        <w:t> </w:t>
      </w:r>
      <w:r w:rsidRPr="007E7F04">
        <w:t>inovace. Realizace částí dvou komponent</w:t>
      </w:r>
      <w:r w:rsidR="00106BE3">
        <w:t xml:space="preserve"> v gesci Ministerstva průmyslu a obchodu</w:t>
      </w:r>
      <w:r w:rsidRPr="007E7F04">
        <w:t xml:space="preserve"> probíhá prostřednictvím programu TREND, kde je </w:t>
      </w:r>
      <w:r w:rsidR="006765BA">
        <w:t xml:space="preserve">TA ČR jako poskytovatel podpory v roli tzv. </w:t>
      </w:r>
      <w:r w:rsidRPr="007E7F04">
        <w:t>subjekt</w:t>
      </w:r>
      <w:r w:rsidR="006765BA">
        <w:t>u</w:t>
      </w:r>
      <w:r w:rsidRPr="007E7F04">
        <w:t xml:space="preserve"> implementace. Konkrétně se jedná o</w:t>
      </w:r>
      <w:r w:rsidR="00CE7C79">
        <w:t> </w:t>
      </w:r>
      <w:r w:rsidRPr="007E7F04">
        <w:t xml:space="preserve">komponentu 1.3 </w:t>
      </w:r>
      <w:r w:rsidR="00F02EF4">
        <w:t>(</w:t>
      </w:r>
      <w:r w:rsidRPr="007E7F04">
        <w:t>investic</w:t>
      </w:r>
      <w:r w:rsidR="00F02EF4">
        <w:t>e</w:t>
      </w:r>
      <w:r w:rsidRPr="007E7F04">
        <w:t xml:space="preserve"> Vědeckovýzkumné činnosti související s</w:t>
      </w:r>
      <w:r w:rsidR="00CE7C79">
        <w:t> </w:t>
      </w:r>
      <w:r w:rsidRPr="007E7F04">
        <w:t>rozvojem sítí a</w:t>
      </w:r>
      <w:r w:rsidR="00CE7C79">
        <w:t> </w:t>
      </w:r>
      <w:r w:rsidRPr="007E7F04">
        <w:t>služeb 5G</w:t>
      </w:r>
      <w:r w:rsidR="00F02EF4">
        <w:t>)</w:t>
      </w:r>
      <w:r w:rsidRPr="007E7F04">
        <w:t xml:space="preserve"> a</w:t>
      </w:r>
      <w:r w:rsidR="00CE7C79">
        <w:t> </w:t>
      </w:r>
      <w:r w:rsidRPr="007E7F04">
        <w:t xml:space="preserve">komponentu 5.2 </w:t>
      </w:r>
      <w:r w:rsidR="00F02EF4">
        <w:t>(</w:t>
      </w:r>
      <w:r w:rsidRPr="007E7F04">
        <w:t>investic</w:t>
      </w:r>
      <w:r w:rsidR="00F02EF4">
        <w:t>e</w:t>
      </w:r>
      <w:r w:rsidRPr="007E7F04">
        <w:t xml:space="preserve"> Podpora výzkumu a</w:t>
      </w:r>
      <w:r w:rsidR="00CE7C79">
        <w:t> </w:t>
      </w:r>
      <w:r w:rsidRPr="007E7F04">
        <w:t>vývoje v</w:t>
      </w:r>
      <w:r w:rsidR="00CE7C79">
        <w:t> </w:t>
      </w:r>
      <w:r w:rsidRPr="007E7F04">
        <w:t>podnicích plně v</w:t>
      </w:r>
      <w:r w:rsidR="00CE7C79">
        <w:t> </w:t>
      </w:r>
      <w:r w:rsidRPr="007E7F04">
        <w:t>souladu s</w:t>
      </w:r>
      <w:r w:rsidR="00CE7C79">
        <w:t> </w:t>
      </w:r>
      <w:r w:rsidRPr="007E7F04">
        <w:t>Národní RIS3 strategií</w:t>
      </w:r>
      <w:r w:rsidR="00F02EF4">
        <w:t>)</w:t>
      </w:r>
      <w:r w:rsidRPr="007E7F04">
        <w:t>.</w:t>
      </w:r>
      <w:r w:rsidRPr="003A2A7D">
        <w:t xml:space="preserve"> </w:t>
      </w:r>
      <w:r w:rsidR="00F02EF4">
        <w:t>Komponenta 1.3</w:t>
      </w:r>
      <w:r w:rsidRPr="003A2A7D">
        <w:t xml:space="preserve"> </w:t>
      </w:r>
      <w:r w:rsidR="00E97BA4">
        <w:t xml:space="preserve">byla </w:t>
      </w:r>
      <w:r w:rsidRPr="003A2A7D">
        <w:t>realizována v</w:t>
      </w:r>
      <w:r w:rsidR="00CE7C79">
        <w:t> </w:t>
      </w:r>
      <w:r w:rsidRPr="003A2A7D">
        <w:t>rámci 7. a</w:t>
      </w:r>
      <w:r w:rsidR="00CE7C79">
        <w:t> </w:t>
      </w:r>
      <w:r w:rsidRPr="003A2A7D">
        <w:t>8. veřejné soutěže TREND</w:t>
      </w:r>
      <w:r w:rsidR="008C0774" w:rsidRPr="003A2A7D">
        <w:t>,</w:t>
      </w:r>
      <w:r w:rsidR="00F02EF4">
        <w:t xml:space="preserve"> komponenta 5.2</w:t>
      </w:r>
      <w:r w:rsidR="008C0774" w:rsidRPr="003A2A7D">
        <w:t xml:space="preserve"> </w:t>
      </w:r>
      <w:r w:rsidR="00F02EF4">
        <w:t>p</w:t>
      </w:r>
      <w:r w:rsidRPr="003A2A7D">
        <w:t xml:space="preserve">rostřednictvím </w:t>
      </w:r>
      <w:r w:rsidR="008C0774" w:rsidRPr="003A2A7D">
        <w:t>10. VS</w:t>
      </w:r>
      <w:r w:rsidRPr="003A2A7D">
        <w:t>. Podmínky veřejných soutěží byly doplněny a</w:t>
      </w:r>
      <w:r w:rsidR="00CE7C79">
        <w:t> </w:t>
      </w:r>
      <w:r w:rsidRPr="003A2A7D">
        <w:t>upraveny, aby byly v</w:t>
      </w:r>
      <w:r w:rsidR="00CE7C79">
        <w:t> </w:t>
      </w:r>
      <w:r w:rsidRPr="003A2A7D">
        <w:t>souladu s</w:t>
      </w:r>
      <w:r w:rsidR="00CE7C79">
        <w:t> </w:t>
      </w:r>
      <w:r w:rsidRPr="003A2A7D">
        <w:t xml:space="preserve">podmínkami NPO. </w:t>
      </w:r>
      <w:r w:rsidR="00F02EF4">
        <w:t>Nutno konstatovat, že se t</w:t>
      </w:r>
      <w:r w:rsidRPr="003A2A7D">
        <w:t>ím zvýšila zátěž pro zaměstnance kanceláře TA ČR i</w:t>
      </w:r>
      <w:r w:rsidR="00CE7C79">
        <w:t> </w:t>
      </w:r>
      <w:r w:rsidRPr="003A2A7D">
        <w:t>pro uchazeče a</w:t>
      </w:r>
      <w:r w:rsidR="00CE7C79">
        <w:t> </w:t>
      </w:r>
      <w:r w:rsidRPr="003A2A7D">
        <w:t>příjemce</w:t>
      </w:r>
      <w:r w:rsidR="00F02EF4">
        <w:t>, kterou s sebou obecně nesou programy financované z rozpočtu Evropské unie a zejména právě Národní plán obnovy</w:t>
      </w:r>
      <w:r w:rsidRPr="003A2A7D">
        <w:t xml:space="preserve">. </w:t>
      </w:r>
    </w:p>
    <w:p w14:paraId="15874823" w14:textId="4908F018" w:rsidR="007E7F04" w:rsidRDefault="007E7F04" w:rsidP="00E73630">
      <w:pPr>
        <w:jc w:val="both"/>
        <w:rPr>
          <w:shd w:val="clear" w:color="auto" w:fill="93C47D"/>
        </w:rPr>
      </w:pPr>
      <w:r w:rsidRPr="003A2A7D">
        <w:t xml:space="preserve">Alokace na 10. veřejnou soutěž byla </w:t>
      </w:r>
      <w:r w:rsidR="00F02EF4">
        <w:t xml:space="preserve">původně </w:t>
      </w:r>
      <w:r w:rsidR="008C0774" w:rsidRPr="003A2A7D">
        <w:t>1 280 mil. Kč z</w:t>
      </w:r>
      <w:r w:rsidR="00F02EF4">
        <w:t xml:space="preserve"> prostředků </w:t>
      </w:r>
      <w:r w:rsidR="008C0774" w:rsidRPr="003A2A7D">
        <w:t>NPO</w:t>
      </w:r>
      <w:r w:rsidR="00F02EF4">
        <w:t>, po změně v průběhu roku 2024 byla navýšena na 1 424 mil. Kč. Alokace soutěže však byla navýšena ještě z pros</w:t>
      </w:r>
      <w:r w:rsidR="001D48A4" w:rsidRPr="003A2A7D">
        <w:t xml:space="preserve">tředků </w:t>
      </w:r>
      <w:r w:rsidRPr="003A2A7D">
        <w:t>státního rozpočtu</w:t>
      </w:r>
      <w:r w:rsidR="001D48A4" w:rsidRPr="003A2A7D">
        <w:t xml:space="preserve"> až</w:t>
      </w:r>
      <w:r w:rsidR="00F02EF4">
        <w:t> </w:t>
      </w:r>
      <w:r w:rsidR="001D48A4" w:rsidRPr="003A2A7D">
        <w:t>na</w:t>
      </w:r>
      <w:r w:rsidR="00F02EF4">
        <w:t> </w:t>
      </w:r>
      <w:r w:rsidR="001D48A4" w:rsidRPr="003A2A7D">
        <w:t>1 800 mil. Kč</w:t>
      </w:r>
      <w:r w:rsidRPr="003A2A7D">
        <w:t>, nicméně všechny podpořené projekty musí plnit podmínky NPO.</w:t>
      </w:r>
      <w:r>
        <w:rPr>
          <w:shd w:val="clear" w:color="auto" w:fill="93C47D"/>
        </w:rPr>
        <w:t xml:space="preserve"> </w:t>
      </w:r>
    </w:p>
    <w:p w14:paraId="01E71660" w14:textId="6E7B8A2B" w:rsidR="007E7F04" w:rsidRDefault="007E7F04" w:rsidP="00E73630">
      <w:pPr>
        <w:jc w:val="both"/>
        <w:rPr>
          <w:shd w:val="clear" w:color="auto" w:fill="93C47D"/>
        </w:rPr>
      </w:pPr>
      <w:r w:rsidRPr="003A2A7D">
        <w:t>Projekty budou podléhat zvýšeným nárokům implementace NPO i</w:t>
      </w:r>
      <w:r w:rsidR="00CE7C79">
        <w:t> </w:t>
      </w:r>
      <w:r w:rsidRPr="003A2A7D">
        <w:t>v průběhu jejich realizace a</w:t>
      </w:r>
      <w:r w:rsidR="00CE7C79">
        <w:t> </w:t>
      </w:r>
      <w:r w:rsidRPr="003A2A7D">
        <w:t>závěrečném vyhodnocení.</w:t>
      </w:r>
      <w:r>
        <w:rPr>
          <w:shd w:val="clear" w:color="auto" w:fill="93C47D"/>
        </w:rPr>
        <w:t xml:space="preserve"> </w:t>
      </w:r>
    </w:p>
    <w:p w14:paraId="77C66D52" w14:textId="77777777" w:rsidR="00E73630" w:rsidRDefault="00E73630">
      <w:pPr>
        <w:spacing w:after="200" w:line="276" w:lineRule="auto"/>
        <w:rPr>
          <w:rFonts w:asciiTheme="majorHAnsi" w:eastAsiaTheme="majorEastAsia" w:hAnsiTheme="majorHAnsi" w:cstheme="majorBidi"/>
          <w:b/>
          <w:color w:val="004B8D" w:themeColor="text2"/>
          <w:sz w:val="28"/>
          <w:szCs w:val="32"/>
        </w:rPr>
      </w:pPr>
      <w:r>
        <w:br w:type="page"/>
      </w:r>
    </w:p>
    <w:p w14:paraId="5FBFDE46" w14:textId="2191F73C" w:rsidR="009A666F" w:rsidRDefault="009A666F" w:rsidP="00F65956">
      <w:pPr>
        <w:pStyle w:val="Nadpis1"/>
      </w:pPr>
      <w:bookmarkStart w:id="17" w:name="_Toc185334558"/>
      <w:r>
        <w:lastRenderedPageBreak/>
        <w:t>PODPOŘENÉ PROJEKTY</w:t>
      </w:r>
      <w:bookmarkEnd w:id="17"/>
    </w:p>
    <w:p w14:paraId="1A4764BD" w14:textId="60DDC116" w:rsidR="0024101E" w:rsidRDefault="00395E8E" w:rsidP="00E6582C">
      <w:pPr>
        <w:spacing w:after="120"/>
        <w:jc w:val="both"/>
      </w:pPr>
      <w:r>
        <w:t>Jak již bylo výše uvedeno, v</w:t>
      </w:r>
      <w:r w:rsidR="00CE7C79">
        <w:t> </w:t>
      </w:r>
      <w:r>
        <w:t>Programu bylo v</w:t>
      </w:r>
      <w:r w:rsidR="00E73630">
        <w:t> </w:t>
      </w:r>
      <w:r>
        <w:t>rámci</w:t>
      </w:r>
      <w:r w:rsidR="00E73630">
        <w:t xml:space="preserve"> deseti</w:t>
      </w:r>
      <w:r>
        <w:t xml:space="preserve"> </w:t>
      </w:r>
      <w:r w:rsidR="00E73630">
        <w:t>vyhodnocených VS</w:t>
      </w:r>
      <w:r>
        <w:t xml:space="preserve"> podpořeno celkem </w:t>
      </w:r>
      <w:r w:rsidR="004F1C9F">
        <w:t xml:space="preserve">670 </w:t>
      </w:r>
      <w:r>
        <w:t xml:space="preserve">projektů. </w:t>
      </w:r>
      <w:r w:rsidR="006973F6">
        <w:t>Jejich c</w:t>
      </w:r>
      <w:r>
        <w:t xml:space="preserve">elkové uznané náklady za celou dobu realizace jsou očekávány </w:t>
      </w:r>
      <w:r w:rsidR="00142776">
        <w:t xml:space="preserve">ve výši cca </w:t>
      </w:r>
      <w:r w:rsidR="004F1C9F">
        <w:t>16</w:t>
      </w:r>
      <w:r w:rsidR="00142776">
        <w:t xml:space="preserve"> m</w:t>
      </w:r>
      <w:r w:rsidR="00CC1735">
        <w:t>ld</w:t>
      </w:r>
      <w:r w:rsidR="00142776">
        <w:t>. Kč. Na jejich řešení bude poskytnuta podpora v</w:t>
      </w:r>
      <w:r w:rsidR="00CE7C79">
        <w:t> </w:t>
      </w:r>
      <w:r w:rsidR="00142776">
        <w:t xml:space="preserve">celkovém objemu </w:t>
      </w:r>
      <w:r w:rsidR="0085650A">
        <w:t>10,</w:t>
      </w:r>
      <w:r w:rsidR="004F1C9F">
        <w:t>4</w:t>
      </w:r>
      <w:r w:rsidR="00CC1735">
        <w:t xml:space="preserve"> mld</w:t>
      </w:r>
      <w:r w:rsidR="00142776">
        <w:t>. Kč</w:t>
      </w:r>
      <w:r w:rsidR="000C2F21">
        <w:t>.</w:t>
      </w:r>
    </w:p>
    <w:p w14:paraId="73DAD279" w14:textId="77777777" w:rsidR="001F1364" w:rsidRDefault="003A76BA" w:rsidP="003A76BA">
      <w:pPr>
        <w:spacing w:after="120"/>
        <w:jc w:val="both"/>
      </w:pPr>
      <w:r>
        <w:t xml:space="preserve">Počty podpořených projektů a výše poskytnuté dotace byly v rámci postupné realizace Programu výrazně ovlivněny vývojem rozpočtu na výzkum, vývoj a inovace a faktem, že se jednalo o první „rezortní program“ implementovaný TA ČR, pro který se teprve postupně hledal </w:t>
      </w:r>
      <w:r w:rsidR="006765BA">
        <w:t xml:space="preserve">(a do značné míry stále ještě hledá) </w:t>
      </w:r>
      <w:r>
        <w:t xml:space="preserve">formát konstrukce rozpočtu, jeho obhajování a sledování. Pro první roky Programu a dále ad hoc v řadě dalších případů byl rozpočet </w:t>
      </w:r>
      <w:r w:rsidR="006765BA">
        <w:t>P</w:t>
      </w:r>
      <w:r>
        <w:t xml:space="preserve">rogramu posilován převody z rozpočtové kapitoly MPO do rozpočtu TA ČR. TA ČR dále na zahájení implementace Programu, v souladu s výsledky jednání o přípravě státního rozpočtu, využila ve vysokém objemu nároky z nespotřebovaných výdajů z předchozích let. </w:t>
      </w:r>
    </w:p>
    <w:p w14:paraId="4ED368D6" w14:textId="7B1AA93C" w:rsidR="006037E1" w:rsidRDefault="006037E1" w:rsidP="003A76BA">
      <w:pPr>
        <w:spacing w:after="120"/>
        <w:jc w:val="both"/>
      </w:pPr>
      <w:r>
        <w:t>Dalším mimořádným zásahem do</w:t>
      </w:r>
      <w:r w:rsidR="006765BA">
        <w:t> </w:t>
      </w:r>
      <w:r>
        <w:t>čerpání podpory v Programu bylo financování několika veřejných soutěží z prostředků Národního plánu obnovy</w:t>
      </w:r>
      <w:r w:rsidR="001F1364">
        <w:t>, tedy nad rámec plánovaných výdajů státního rozpočtu.</w:t>
      </w:r>
      <w:r w:rsidR="008B0B2F">
        <w:t xml:space="preserve"> Z těchto prostředků byl nakonec Program posílen v období 2023 až 2026 téměř o 1,7 mld. Kč.</w:t>
      </w:r>
    </w:p>
    <w:p w14:paraId="287C1D11" w14:textId="75BF8161" w:rsidR="003A76BA" w:rsidRDefault="003A76BA" w:rsidP="003A76BA">
      <w:pPr>
        <w:spacing w:after="120"/>
        <w:jc w:val="both"/>
      </w:pPr>
      <w:r>
        <w:t>Zdroje ze státního rozpočtu na Program tak v jednotlivých letech zdaleka neodpovídaly ani schválenému znění Programu, ani reálně poskytované podpoře.</w:t>
      </w:r>
    </w:p>
    <w:p w14:paraId="6F5CAC34" w14:textId="77777777" w:rsidR="008B0B2F" w:rsidRDefault="001F1364" w:rsidP="001F1364">
      <w:pPr>
        <w:spacing w:before="240" w:after="120"/>
        <w:jc w:val="both"/>
      </w:pPr>
      <w:r>
        <w:t>V prvních letech realizace Programu byly jeho skutečné výdaje podstatně vyšší, než jak byly plánovány, a to s ohledem na dodatečné rozhodnutí o navýšení alokace na první vyhlášenou veřejnou soutěž o 1 mld. Kč. Roční výdaje na podporu projektů v Programu dosáhly vrcholu v roce 2024, pokud bychom nezapočítali zdroje NPO, tak byl vrchol financování již v roce 2023.</w:t>
      </w:r>
    </w:p>
    <w:p w14:paraId="3C73D9F6" w14:textId="04D0C401" w:rsidR="003A76BA" w:rsidRDefault="003A76BA" w:rsidP="003A76BA">
      <w:pPr>
        <w:pStyle w:val="Titulek"/>
        <w:rPr>
          <w:szCs w:val="22"/>
        </w:rPr>
      </w:pPr>
      <w:bookmarkStart w:id="18" w:name="_Toc185334572"/>
      <w:r w:rsidRPr="007C1F2C">
        <w:t xml:space="preserve">Tabulka </w:t>
      </w:r>
      <w:fldSimple w:instr=" SEQ Tabulka \* ARABIC ">
        <w:r w:rsidR="00353407">
          <w:rPr>
            <w:noProof/>
          </w:rPr>
          <w:t>5</w:t>
        </w:r>
      </w:fldSimple>
      <w:r w:rsidRPr="007C1F2C">
        <w:t xml:space="preserve">: </w:t>
      </w:r>
      <w:r>
        <w:t>Rozpočet a výdaje Programu</w:t>
      </w:r>
      <w:r w:rsidR="006765BA">
        <w:rPr>
          <w:rStyle w:val="Znakapoznpodarou"/>
        </w:rPr>
        <w:footnoteReference w:id="3"/>
      </w:r>
      <w:r w:rsidR="008B0B2F">
        <w:t xml:space="preserve"> v mil. Kč</w:t>
      </w:r>
      <w:bookmarkEnd w:id="18"/>
    </w:p>
    <w:tbl>
      <w:tblPr>
        <w:tblW w:w="10064" w:type="dxa"/>
        <w:tblInd w:w="-5" w:type="dxa"/>
        <w:tblLayout w:type="fixed"/>
        <w:tblCellMar>
          <w:left w:w="70" w:type="dxa"/>
          <w:right w:w="70" w:type="dxa"/>
        </w:tblCellMar>
        <w:tblLook w:val="04A0" w:firstRow="1" w:lastRow="0" w:firstColumn="1" w:lastColumn="0" w:noHBand="0" w:noVBand="1"/>
      </w:tblPr>
      <w:tblGrid>
        <w:gridCol w:w="2977"/>
        <w:gridCol w:w="771"/>
        <w:gridCol w:w="772"/>
        <w:gridCol w:w="772"/>
        <w:gridCol w:w="771"/>
        <w:gridCol w:w="772"/>
        <w:gridCol w:w="772"/>
        <w:gridCol w:w="771"/>
        <w:gridCol w:w="772"/>
        <w:gridCol w:w="914"/>
      </w:tblGrid>
      <w:tr w:rsidR="003A76BA" w:rsidRPr="002342AB" w14:paraId="719CE8C6" w14:textId="77777777" w:rsidTr="0087377E">
        <w:trPr>
          <w:trHeight w:val="337"/>
        </w:trPr>
        <w:tc>
          <w:tcPr>
            <w:tcW w:w="2977" w:type="dxa"/>
            <w:tcBorders>
              <w:top w:val="single" w:sz="4" w:space="0" w:color="auto"/>
              <w:left w:val="single" w:sz="4" w:space="0" w:color="auto"/>
              <w:bottom w:val="single" w:sz="4" w:space="0" w:color="auto"/>
              <w:right w:val="single" w:sz="4" w:space="0" w:color="auto"/>
            </w:tcBorders>
            <w:shd w:val="clear" w:color="auto" w:fill="B9E0F7" w:themeFill="accent5"/>
            <w:noWrap/>
            <w:vAlign w:val="center"/>
          </w:tcPr>
          <w:p w14:paraId="437D8277" w14:textId="77777777" w:rsidR="003A76BA" w:rsidRPr="002342AB" w:rsidRDefault="003A76BA" w:rsidP="00370457">
            <w:pPr>
              <w:spacing w:after="0" w:line="240" w:lineRule="auto"/>
              <w:jc w:val="center"/>
              <w:rPr>
                <w:rFonts w:eastAsia="Times New Roman" w:cstheme="minorHAnsi"/>
                <w:color w:val="000000"/>
                <w:lang w:eastAsia="cs-CZ"/>
              </w:rPr>
            </w:pPr>
            <w:bookmarkStart w:id="19" w:name="_Hlk184221537"/>
          </w:p>
        </w:tc>
        <w:tc>
          <w:tcPr>
            <w:tcW w:w="771"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4102EFBD"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2020</w:t>
            </w:r>
          </w:p>
        </w:tc>
        <w:tc>
          <w:tcPr>
            <w:tcW w:w="772"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28B3FDB4"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2021</w:t>
            </w:r>
          </w:p>
        </w:tc>
        <w:tc>
          <w:tcPr>
            <w:tcW w:w="772" w:type="dxa"/>
            <w:tcBorders>
              <w:top w:val="single" w:sz="4" w:space="0" w:color="auto"/>
              <w:left w:val="nil"/>
              <w:bottom w:val="single" w:sz="4" w:space="0" w:color="auto"/>
              <w:right w:val="single" w:sz="4" w:space="0" w:color="auto"/>
            </w:tcBorders>
            <w:shd w:val="clear" w:color="auto" w:fill="B9E0F7" w:themeFill="accent5"/>
            <w:vAlign w:val="center"/>
          </w:tcPr>
          <w:p w14:paraId="1C18A647"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2022</w:t>
            </w:r>
          </w:p>
        </w:tc>
        <w:tc>
          <w:tcPr>
            <w:tcW w:w="771"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78AFBAFF"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2023</w:t>
            </w:r>
          </w:p>
        </w:tc>
        <w:tc>
          <w:tcPr>
            <w:tcW w:w="772"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08A5B43D"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2024</w:t>
            </w:r>
          </w:p>
        </w:tc>
        <w:tc>
          <w:tcPr>
            <w:tcW w:w="772"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58003557"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2025</w:t>
            </w:r>
          </w:p>
        </w:tc>
        <w:tc>
          <w:tcPr>
            <w:tcW w:w="771"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1B0B38C1"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2026</w:t>
            </w:r>
          </w:p>
        </w:tc>
        <w:tc>
          <w:tcPr>
            <w:tcW w:w="772"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188CF80B"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2027</w:t>
            </w:r>
          </w:p>
        </w:tc>
        <w:tc>
          <w:tcPr>
            <w:tcW w:w="914"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73146CC0" w14:textId="77777777" w:rsidR="003A76BA" w:rsidRPr="002342AB" w:rsidRDefault="003A76BA" w:rsidP="00370457">
            <w:pPr>
              <w:spacing w:after="0" w:line="240" w:lineRule="auto"/>
              <w:jc w:val="center"/>
              <w:rPr>
                <w:rFonts w:eastAsia="Times New Roman" w:cstheme="minorHAnsi"/>
                <w:color w:val="000000"/>
                <w:lang w:eastAsia="cs-CZ"/>
              </w:rPr>
            </w:pPr>
            <w:r w:rsidRPr="002342AB">
              <w:rPr>
                <w:rFonts w:eastAsia="Times New Roman" w:cstheme="minorHAnsi"/>
                <w:color w:val="000000"/>
                <w:lang w:eastAsia="cs-CZ"/>
              </w:rPr>
              <w:t>celkem</w:t>
            </w:r>
          </w:p>
        </w:tc>
      </w:tr>
      <w:tr w:rsidR="006037E1" w:rsidRPr="002342AB" w14:paraId="4283061A" w14:textId="77777777" w:rsidTr="006765BA">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AEAD8" w14:textId="2E10FB1B" w:rsidR="006037E1" w:rsidRPr="002342AB" w:rsidRDefault="002342AB" w:rsidP="006765BA">
            <w:pPr>
              <w:spacing w:after="0" w:line="240" w:lineRule="auto"/>
              <w:rPr>
                <w:rFonts w:eastAsia="Times New Roman" w:cstheme="minorHAnsi"/>
                <w:b/>
                <w:bCs/>
                <w:color w:val="000000"/>
                <w:lang w:eastAsia="cs-CZ"/>
              </w:rPr>
            </w:pPr>
            <w:r w:rsidRPr="002342AB">
              <w:rPr>
                <w:rFonts w:cstheme="minorHAnsi"/>
                <w:b/>
                <w:bCs/>
                <w:color w:val="000000"/>
              </w:rPr>
              <w:t>v</w:t>
            </w:r>
            <w:r w:rsidR="006037E1" w:rsidRPr="002342AB">
              <w:rPr>
                <w:rFonts w:cstheme="minorHAnsi"/>
                <w:b/>
                <w:bCs/>
                <w:color w:val="000000"/>
              </w:rPr>
              <w:t>ýdaje Programu – skutečné</w:t>
            </w:r>
          </w:p>
        </w:tc>
        <w:tc>
          <w:tcPr>
            <w:tcW w:w="771" w:type="dxa"/>
            <w:tcBorders>
              <w:top w:val="single" w:sz="4" w:space="0" w:color="auto"/>
              <w:left w:val="nil"/>
              <w:bottom w:val="single" w:sz="4" w:space="0" w:color="auto"/>
              <w:right w:val="single" w:sz="4" w:space="0" w:color="auto"/>
            </w:tcBorders>
            <w:shd w:val="clear" w:color="auto" w:fill="auto"/>
            <w:vAlign w:val="center"/>
          </w:tcPr>
          <w:p w14:paraId="71301E22" w14:textId="7C13EFF1"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759</w:t>
            </w:r>
          </w:p>
        </w:tc>
        <w:tc>
          <w:tcPr>
            <w:tcW w:w="772" w:type="dxa"/>
            <w:tcBorders>
              <w:top w:val="single" w:sz="4" w:space="0" w:color="auto"/>
              <w:left w:val="nil"/>
              <w:bottom w:val="single" w:sz="4" w:space="0" w:color="auto"/>
              <w:right w:val="single" w:sz="4" w:space="0" w:color="auto"/>
            </w:tcBorders>
            <w:shd w:val="clear" w:color="auto" w:fill="auto"/>
            <w:vAlign w:val="center"/>
          </w:tcPr>
          <w:p w14:paraId="5E00EAFF" w14:textId="39075DB1"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1 655</w:t>
            </w:r>
          </w:p>
        </w:tc>
        <w:tc>
          <w:tcPr>
            <w:tcW w:w="772" w:type="dxa"/>
            <w:tcBorders>
              <w:top w:val="single" w:sz="4" w:space="0" w:color="auto"/>
              <w:left w:val="nil"/>
              <w:bottom w:val="single" w:sz="4" w:space="0" w:color="auto"/>
              <w:right w:val="single" w:sz="4" w:space="0" w:color="auto"/>
            </w:tcBorders>
            <w:shd w:val="clear" w:color="auto" w:fill="auto"/>
            <w:vAlign w:val="center"/>
          </w:tcPr>
          <w:p w14:paraId="64442129" w14:textId="6B392E6D"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1 710</w:t>
            </w:r>
          </w:p>
        </w:tc>
        <w:tc>
          <w:tcPr>
            <w:tcW w:w="771" w:type="dxa"/>
            <w:tcBorders>
              <w:top w:val="single" w:sz="4" w:space="0" w:color="auto"/>
              <w:left w:val="nil"/>
              <w:bottom w:val="single" w:sz="4" w:space="0" w:color="auto"/>
              <w:right w:val="single" w:sz="4" w:space="0" w:color="auto"/>
            </w:tcBorders>
            <w:shd w:val="clear" w:color="auto" w:fill="auto"/>
            <w:vAlign w:val="center"/>
          </w:tcPr>
          <w:p w14:paraId="24B90AA5" w14:textId="07DC6E31"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1 908</w:t>
            </w:r>
          </w:p>
        </w:tc>
        <w:tc>
          <w:tcPr>
            <w:tcW w:w="772" w:type="dxa"/>
            <w:tcBorders>
              <w:top w:val="single" w:sz="4" w:space="0" w:color="auto"/>
              <w:left w:val="nil"/>
              <w:bottom w:val="single" w:sz="4" w:space="0" w:color="auto"/>
              <w:right w:val="single" w:sz="4" w:space="0" w:color="auto"/>
            </w:tcBorders>
            <w:shd w:val="clear" w:color="auto" w:fill="auto"/>
            <w:vAlign w:val="center"/>
          </w:tcPr>
          <w:p w14:paraId="69DA333B" w14:textId="674F66B2"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2 179</w:t>
            </w:r>
          </w:p>
        </w:tc>
        <w:tc>
          <w:tcPr>
            <w:tcW w:w="772" w:type="dxa"/>
            <w:tcBorders>
              <w:top w:val="single" w:sz="4" w:space="0" w:color="auto"/>
              <w:left w:val="nil"/>
              <w:bottom w:val="single" w:sz="4" w:space="0" w:color="auto"/>
              <w:right w:val="single" w:sz="4" w:space="0" w:color="auto"/>
            </w:tcBorders>
            <w:shd w:val="clear" w:color="auto" w:fill="auto"/>
            <w:vAlign w:val="center"/>
          </w:tcPr>
          <w:p w14:paraId="72EC4FB9" w14:textId="2D3E3C71"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1 544</w:t>
            </w:r>
          </w:p>
        </w:tc>
        <w:tc>
          <w:tcPr>
            <w:tcW w:w="771" w:type="dxa"/>
            <w:tcBorders>
              <w:top w:val="single" w:sz="4" w:space="0" w:color="auto"/>
              <w:left w:val="nil"/>
              <w:bottom w:val="single" w:sz="4" w:space="0" w:color="auto"/>
              <w:right w:val="single" w:sz="4" w:space="0" w:color="auto"/>
            </w:tcBorders>
            <w:shd w:val="clear" w:color="auto" w:fill="auto"/>
            <w:vAlign w:val="center"/>
          </w:tcPr>
          <w:p w14:paraId="6EBB5E9F" w14:textId="18B7F018"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578</w:t>
            </w:r>
          </w:p>
        </w:tc>
        <w:tc>
          <w:tcPr>
            <w:tcW w:w="772" w:type="dxa"/>
            <w:tcBorders>
              <w:top w:val="single" w:sz="4" w:space="0" w:color="auto"/>
              <w:left w:val="nil"/>
              <w:bottom w:val="single" w:sz="4" w:space="0" w:color="auto"/>
              <w:right w:val="single" w:sz="4" w:space="0" w:color="auto"/>
            </w:tcBorders>
            <w:shd w:val="clear" w:color="auto" w:fill="auto"/>
            <w:vAlign w:val="center"/>
          </w:tcPr>
          <w:p w14:paraId="2529E1B0" w14:textId="22DFF970"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43</w:t>
            </w:r>
          </w:p>
        </w:tc>
        <w:tc>
          <w:tcPr>
            <w:tcW w:w="914" w:type="dxa"/>
            <w:tcBorders>
              <w:top w:val="single" w:sz="4" w:space="0" w:color="auto"/>
              <w:left w:val="nil"/>
              <w:bottom w:val="single" w:sz="4" w:space="0" w:color="auto"/>
              <w:right w:val="single" w:sz="4" w:space="0" w:color="auto"/>
            </w:tcBorders>
            <w:shd w:val="clear" w:color="auto" w:fill="auto"/>
            <w:vAlign w:val="center"/>
          </w:tcPr>
          <w:p w14:paraId="52C3F461" w14:textId="5B420E83"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b/>
                <w:bCs/>
                <w:color w:val="000000"/>
              </w:rPr>
              <w:t>10 376</w:t>
            </w:r>
          </w:p>
        </w:tc>
      </w:tr>
      <w:tr w:rsidR="006037E1" w:rsidRPr="002342AB" w14:paraId="5579C40F" w14:textId="77777777" w:rsidTr="006765BA">
        <w:trPr>
          <w:trHeight w:val="340"/>
        </w:trPr>
        <w:tc>
          <w:tcPr>
            <w:tcW w:w="2977" w:type="dxa"/>
            <w:tcBorders>
              <w:top w:val="nil"/>
              <w:left w:val="single" w:sz="4" w:space="0" w:color="auto"/>
              <w:bottom w:val="single" w:sz="4" w:space="0" w:color="auto"/>
              <w:right w:val="single" w:sz="4" w:space="0" w:color="auto"/>
            </w:tcBorders>
            <w:shd w:val="clear" w:color="auto" w:fill="auto"/>
            <w:noWrap/>
            <w:vAlign w:val="center"/>
          </w:tcPr>
          <w:p w14:paraId="378DFD9F" w14:textId="269B2C69" w:rsidR="006037E1" w:rsidRPr="002342AB" w:rsidRDefault="006037E1" w:rsidP="006765BA">
            <w:pPr>
              <w:spacing w:after="0" w:line="240" w:lineRule="auto"/>
              <w:rPr>
                <w:rFonts w:eastAsia="Times New Roman" w:cstheme="minorHAnsi"/>
                <w:color w:val="000000"/>
                <w:lang w:eastAsia="cs-CZ"/>
              </w:rPr>
            </w:pPr>
            <w:r w:rsidRPr="002342AB">
              <w:rPr>
                <w:rFonts w:cstheme="minorHAnsi"/>
                <w:color w:val="000000"/>
              </w:rPr>
              <w:t xml:space="preserve">     z toho státní rozpočet</w:t>
            </w:r>
          </w:p>
        </w:tc>
        <w:tc>
          <w:tcPr>
            <w:tcW w:w="771" w:type="dxa"/>
            <w:tcBorders>
              <w:top w:val="nil"/>
              <w:left w:val="nil"/>
              <w:bottom w:val="single" w:sz="4" w:space="0" w:color="auto"/>
              <w:right w:val="single" w:sz="4" w:space="0" w:color="auto"/>
            </w:tcBorders>
            <w:shd w:val="clear" w:color="auto" w:fill="auto"/>
            <w:vAlign w:val="center"/>
          </w:tcPr>
          <w:p w14:paraId="5D477EFF" w14:textId="6141790D"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759</w:t>
            </w:r>
          </w:p>
        </w:tc>
        <w:tc>
          <w:tcPr>
            <w:tcW w:w="772" w:type="dxa"/>
            <w:tcBorders>
              <w:top w:val="nil"/>
              <w:left w:val="nil"/>
              <w:bottom w:val="single" w:sz="4" w:space="0" w:color="auto"/>
              <w:right w:val="single" w:sz="4" w:space="0" w:color="auto"/>
            </w:tcBorders>
            <w:shd w:val="clear" w:color="auto" w:fill="auto"/>
            <w:vAlign w:val="center"/>
          </w:tcPr>
          <w:p w14:paraId="1ADFEC5B" w14:textId="1E9B1F8D"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1 655</w:t>
            </w:r>
          </w:p>
        </w:tc>
        <w:tc>
          <w:tcPr>
            <w:tcW w:w="772" w:type="dxa"/>
            <w:tcBorders>
              <w:top w:val="nil"/>
              <w:left w:val="nil"/>
              <w:bottom w:val="single" w:sz="4" w:space="0" w:color="auto"/>
              <w:right w:val="single" w:sz="4" w:space="0" w:color="auto"/>
            </w:tcBorders>
            <w:shd w:val="clear" w:color="auto" w:fill="auto"/>
            <w:vAlign w:val="center"/>
          </w:tcPr>
          <w:p w14:paraId="1B7B323B" w14:textId="2DC85AF9"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1 710</w:t>
            </w:r>
          </w:p>
        </w:tc>
        <w:tc>
          <w:tcPr>
            <w:tcW w:w="771" w:type="dxa"/>
            <w:tcBorders>
              <w:top w:val="nil"/>
              <w:left w:val="nil"/>
              <w:bottom w:val="single" w:sz="4" w:space="0" w:color="auto"/>
              <w:right w:val="single" w:sz="4" w:space="0" w:color="auto"/>
            </w:tcBorders>
            <w:shd w:val="clear" w:color="auto" w:fill="auto"/>
            <w:vAlign w:val="center"/>
          </w:tcPr>
          <w:p w14:paraId="6042CCBC" w14:textId="6E5183AE"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1 832</w:t>
            </w:r>
          </w:p>
        </w:tc>
        <w:tc>
          <w:tcPr>
            <w:tcW w:w="772" w:type="dxa"/>
            <w:tcBorders>
              <w:top w:val="nil"/>
              <w:left w:val="nil"/>
              <w:bottom w:val="single" w:sz="4" w:space="0" w:color="auto"/>
              <w:right w:val="single" w:sz="4" w:space="0" w:color="auto"/>
            </w:tcBorders>
            <w:shd w:val="clear" w:color="auto" w:fill="auto"/>
            <w:vAlign w:val="center"/>
          </w:tcPr>
          <w:p w14:paraId="7DB53730" w14:textId="4B539339"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1 545</w:t>
            </w:r>
          </w:p>
        </w:tc>
        <w:tc>
          <w:tcPr>
            <w:tcW w:w="772" w:type="dxa"/>
            <w:tcBorders>
              <w:top w:val="nil"/>
              <w:left w:val="nil"/>
              <w:bottom w:val="single" w:sz="4" w:space="0" w:color="auto"/>
              <w:right w:val="single" w:sz="4" w:space="0" w:color="auto"/>
            </w:tcBorders>
            <w:shd w:val="clear" w:color="auto" w:fill="auto"/>
            <w:vAlign w:val="center"/>
          </w:tcPr>
          <w:p w14:paraId="2C13260C" w14:textId="253A9C25"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927</w:t>
            </w:r>
          </w:p>
        </w:tc>
        <w:tc>
          <w:tcPr>
            <w:tcW w:w="771" w:type="dxa"/>
            <w:tcBorders>
              <w:top w:val="nil"/>
              <w:left w:val="nil"/>
              <w:bottom w:val="single" w:sz="4" w:space="0" w:color="auto"/>
              <w:right w:val="single" w:sz="4" w:space="0" w:color="auto"/>
            </w:tcBorders>
            <w:shd w:val="clear" w:color="auto" w:fill="auto"/>
            <w:vAlign w:val="center"/>
          </w:tcPr>
          <w:p w14:paraId="75A76CB4" w14:textId="0B62DD78"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361</w:t>
            </w:r>
          </w:p>
        </w:tc>
        <w:tc>
          <w:tcPr>
            <w:tcW w:w="772" w:type="dxa"/>
            <w:tcBorders>
              <w:top w:val="nil"/>
              <w:left w:val="nil"/>
              <w:bottom w:val="single" w:sz="4" w:space="0" w:color="auto"/>
              <w:right w:val="single" w:sz="4" w:space="0" w:color="auto"/>
            </w:tcBorders>
            <w:shd w:val="clear" w:color="auto" w:fill="auto"/>
            <w:vAlign w:val="center"/>
          </w:tcPr>
          <w:p w14:paraId="33022722" w14:textId="524B4F7B"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43</w:t>
            </w:r>
          </w:p>
        </w:tc>
        <w:tc>
          <w:tcPr>
            <w:tcW w:w="914" w:type="dxa"/>
            <w:tcBorders>
              <w:top w:val="nil"/>
              <w:left w:val="nil"/>
              <w:bottom w:val="single" w:sz="4" w:space="0" w:color="auto"/>
              <w:right w:val="single" w:sz="4" w:space="0" w:color="auto"/>
            </w:tcBorders>
            <w:shd w:val="clear" w:color="auto" w:fill="auto"/>
            <w:vAlign w:val="center"/>
          </w:tcPr>
          <w:p w14:paraId="74A412FF" w14:textId="419C559C"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8 832</w:t>
            </w:r>
          </w:p>
        </w:tc>
      </w:tr>
      <w:tr w:rsidR="006037E1" w:rsidRPr="002342AB" w14:paraId="3981FF14" w14:textId="77777777" w:rsidTr="006765BA">
        <w:trPr>
          <w:trHeight w:val="340"/>
        </w:trPr>
        <w:tc>
          <w:tcPr>
            <w:tcW w:w="2977" w:type="dxa"/>
            <w:tcBorders>
              <w:top w:val="nil"/>
              <w:left w:val="single" w:sz="4" w:space="0" w:color="auto"/>
              <w:bottom w:val="single" w:sz="4" w:space="0" w:color="auto"/>
              <w:right w:val="single" w:sz="4" w:space="0" w:color="auto"/>
            </w:tcBorders>
            <w:shd w:val="clear" w:color="auto" w:fill="auto"/>
            <w:noWrap/>
            <w:vAlign w:val="center"/>
          </w:tcPr>
          <w:p w14:paraId="3B63645E" w14:textId="3B9ED683" w:rsidR="006037E1" w:rsidRPr="002342AB" w:rsidRDefault="006037E1" w:rsidP="006765BA">
            <w:pPr>
              <w:spacing w:after="0" w:line="240" w:lineRule="auto"/>
              <w:rPr>
                <w:rFonts w:eastAsia="Times New Roman" w:cstheme="minorHAnsi"/>
                <w:color w:val="000000"/>
                <w:lang w:eastAsia="cs-CZ"/>
              </w:rPr>
            </w:pPr>
            <w:r w:rsidRPr="002342AB">
              <w:rPr>
                <w:rFonts w:cstheme="minorHAnsi"/>
                <w:color w:val="000000"/>
              </w:rPr>
              <w:t xml:space="preserve">     z toho prostředky NPO</w:t>
            </w:r>
            <w:r w:rsidR="008B0B2F" w:rsidRPr="002342AB">
              <w:rPr>
                <w:rStyle w:val="Znakapoznpodarou"/>
                <w:rFonts w:cstheme="minorHAnsi"/>
                <w:color w:val="000000"/>
              </w:rPr>
              <w:footnoteReference w:id="4"/>
            </w:r>
          </w:p>
        </w:tc>
        <w:tc>
          <w:tcPr>
            <w:tcW w:w="771" w:type="dxa"/>
            <w:tcBorders>
              <w:top w:val="nil"/>
              <w:left w:val="nil"/>
              <w:bottom w:val="single" w:sz="4" w:space="0" w:color="auto"/>
              <w:right w:val="single" w:sz="4" w:space="0" w:color="auto"/>
            </w:tcBorders>
            <w:shd w:val="clear" w:color="auto" w:fill="auto"/>
            <w:vAlign w:val="center"/>
          </w:tcPr>
          <w:p w14:paraId="6F0E39B8" w14:textId="7766B23E"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0</w:t>
            </w:r>
          </w:p>
        </w:tc>
        <w:tc>
          <w:tcPr>
            <w:tcW w:w="772" w:type="dxa"/>
            <w:tcBorders>
              <w:top w:val="nil"/>
              <w:left w:val="nil"/>
              <w:bottom w:val="single" w:sz="4" w:space="0" w:color="auto"/>
              <w:right w:val="single" w:sz="4" w:space="0" w:color="auto"/>
            </w:tcBorders>
            <w:shd w:val="clear" w:color="auto" w:fill="auto"/>
            <w:vAlign w:val="center"/>
          </w:tcPr>
          <w:p w14:paraId="0FC9444E" w14:textId="20C7CFA1"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0</w:t>
            </w:r>
          </w:p>
        </w:tc>
        <w:tc>
          <w:tcPr>
            <w:tcW w:w="772" w:type="dxa"/>
            <w:tcBorders>
              <w:top w:val="nil"/>
              <w:left w:val="nil"/>
              <w:bottom w:val="single" w:sz="4" w:space="0" w:color="auto"/>
              <w:right w:val="single" w:sz="4" w:space="0" w:color="auto"/>
            </w:tcBorders>
            <w:shd w:val="clear" w:color="auto" w:fill="auto"/>
            <w:vAlign w:val="center"/>
          </w:tcPr>
          <w:p w14:paraId="374E0C93" w14:textId="2325860C"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0</w:t>
            </w:r>
          </w:p>
        </w:tc>
        <w:tc>
          <w:tcPr>
            <w:tcW w:w="771" w:type="dxa"/>
            <w:tcBorders>
              <w:top w:val="nil"/>
              <w:left w:val="nil"/>
              <w:bottom w:val="single" w:sz="4" w:space="0" w:color="auto"/>
              <w:right w:val="single" w:sz="4" w:space="0" w:color="auto"/>
            </w:tcBorders>
            <w:shd w:val="clear" w:color="auto" w:fill="auto"/>
            <w:vAlign w:val="center"/>
          </w:tcPr>
          <w:p w14:paraId="48452BA2" w14:textId="60277473"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76</w:t>
            </w:r>
          </w:p>
        </w:tc>
        <w:tc>
          <w:tcPr>
            <w:tcW w:w="772" w:type="dxa"/>
            <w:tcBorders>
              <w:top w:val="nil"/>
              <w:left w:val="nil"/>
              <w:bottom w:val="single" w:sz="4" w:space="0" w:color="auto"/>
              <w:right w:val="single" w:sz="4" w:space="0" w:color="auto"/>
            </w:tcBorders>
            <w:shd w:val="clear" w:color="auto" w:fill="auto"/>
            <w:vAlign w:val="center"/>
          </w:tcPr>
          <w:p w14:paraId="20A7C397" w14:textId="1C62FF4F"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634</w:t>
            </w:r>
          </w:p>
        </w:tc>
        <w:tc>
          <w:tcPr>
            <w:tcW w:w="772" w:type="dxa"/>
            <w:tcBorders>
              <w:top w:val="nil"/>
              <w:left w:val="nil"/>
              <w:bottom w:val="single" w:sz="4" w:space="0" w:color="auto"/>
              <w:right w:val="single" w:sz="4" w:space="0" w:color="auto"/>
            </w:tcBorders>
            <w:shd w:val="clear" w:color="auto" w:fill="auto"/>
            <w:vAlign w:val="center"/>
          </w:tcPr>
          <w:p w14:paraId="5F07343F" w14:textId="39629E6A" w:rsidR="006037E1" w:rsidRPr="002342AB" w:rsidRDefault="006037E1" w:rsidP="006765BA">
            <w:pPr>
              <w:spacing w:after="0" w:line="240" w:lineRule="auto"/>
              <w:jc w:val="right"/>
              <w:rPr>
                <w:rFonts w:eastAsia="Times New Roman" w:cstheme="minorHAnsi"/>
                <w:color w:val="000000"/>
                <w:highlight w:val="yellow"/>
                <w:lang w:eastAsia="cs-CZ"/>
              </w:rPr>
            </w:pPr>
            <w:r w:rsidRPr="002342AB">
              <w:rPr>
                <w:rFonts w:cstheme="minorHAnsi"/>
                <w:color w:val="000000"/>
              </w:rPr>
              <w:t>617</w:t>
            </w:r>
          </w:p>
        </w:tc>
        <w:tc>
          <w:tcPr>
            <w:tcW w:w="771" w:type="dxa"/>
            <w:tcBorders>
              <w:top w:val="nil"/>
              <w:left w:val="nil"/>
              <w:bottom w:val="single" w:sz="4" w:space="0" w:color="auto"/>
              <w:right w:val="single" w:sz="4" w:space="0" w:color="auto"/>
            </w:tcBorders>
            <w:shd w:val="clear" w:color="auto" w:fill="auto"/>
            <w:vAlign w:val="center"/>
          </w:tcPr>
          <w:p w14:paraId="326C3E2A" w14:textId="788EF61A" w:rsidR="006037E1" w:rsidRPr="002342AB" w:rsidRDefault="006037E1" w:rsidP="006765BA">
            <w:pPr>
              <w:spacing w:after="0" w:line="240" w:lineRule="auto"/>
              <w:jc w:val="right"/>
              <w:rPr>
                <w:rFonts w:eastAsia="Times New Roman" w:cstheme="minorHAnsi"/>
                <w:color w:val="000000"/>
                <w:highlight w:val="yellow"/>
                <w:lang w:eastAsia="cs-CZ"/>
              </w:rPr>
            </w:pPr>
            <w:r w:rsidRPr="002342AB">
              <w:rPr>
                <w:rFonts w:cstheme="minorHAnsi"/>
                <w:color w:val="000000"/>
              </w:rPr>
              <w:t>217</w:t>
            </w:r>
          </w:p>
        </w:tc>
        <w:tc>
          <w:tcPr>
            <w:tcW w:w="772" w:type="dxa"/>
            <w:tcBorders>
              <w:top w:val="nil"/>
              <w:left w:val="nil"/>
              <w:bottom w:val="single" w:sz="4" w:space="0" w:color="auto"/>
              <w:right w:val="single" w:sz="4" w:space="0" w:color="auto"/>
            </w:tcBorders>
            <w:shd w:val="clear" w:color="auto" w:fill="auto"/>
            <w:vAlign w:val="center"/>
          </w:tcPr>
          <w:p w14:paraId="7D998C99" w14:textId="30BF4212" w:rsidR="006037E1" w:rsidRPr="002342AB" w:rsidRDefault="006037E1" w:rsidP="006765BA">
            <w:pPr>
              <w:spacing w:after="0" w:line="240" w:lineRule="auto"/>
              <w:jc w:val="right"/>
              <w:rPr>
                <w:rFonts w:eastAsia="Times New Roman" w:cstheme="minorHAnsi"/>
                <w:color w:val="000000"/>
                <w:highlight w:val="yellow"/>
                <w:lang w:eastAsia="cs-CZ"/>
              </w:rPr>
            </w:pPr>
            <w:r w:rsidRPr="002342AB">
              <w:rPr>
                <w:rFonts w:cstheme="minorHAnsi"/>
                <w:color w:val="000000"/>
              </w:rPr>
              <w:t>0</w:t>
            </w:r>
          </w:p>
        </w:tc>
        <w:tc>
          <w:tcPr>
            <w:tcW w:w="914" w:type="dxa"/>
            <w:tcBorders>
              <w:top w:val="nil"/>
              <w:left w:val="nil"/>
              <w:bottom w:val="single" w:sz="4" w:space="0" w:color="auto"/>
              <w:right w:val="single" w:sz="4" w:space="0" w:color="auto"/>
            </w:tcBorders>
            <w:shd w:val="clear" w:color="auto" w:fill="auto"/>
            <w:vAlign w:val="center"/>
          </w:tcPr>
          <w:p w14:paraId="06B3C465" w14:textId="72CD92AE" w:rsidR="006037E1" w:rsidRPr="002342AB" w:rsidRDefault="006037E1" w:rsidP="006765BA">
            <w:pPr>
              <w:spacing w:after="0" w:line="240" w:lineRule="auto"/>
              <w:jc w:val="right"/>
              <w:rPr>
                <w:rFonts w:eastAsia="Times New Roman" w:cstheme="minorHAnsi"/>
                <w:color w:val="000000"/>
                <w:highlight w:val="yellow"/>
                <w:lang w:eastAsia="cs-CZ"/>
              </w:rPr>
            </w:pPr>
            <w:r w:rsidRPr="002342AB">
              <w:rPr>
                <w:rFonts w:cstheme="minorHAnsi"/>
                <w:color w:val="000000"/>
              </w:rPr>
              <w:t>1 544</w:t>
            </w:r>
          </w:p>
        </w:tc>
      </w:tr>
      <w:tr w:rsidR="0087377E" w:rsidRPr="002342AB" w14:paraId="69FF4F6C" w14:textId="77777777" w:rsidTr="006765BA">
        <w:trPr>
          <w:trHeight w:val="340"/>
        </w:trPr>
        <w:tc>
          <w:tcPr>
            <w:tcW w:w="2977"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4B23786F" w14:textId="6AAEC433" w:rsidR="006037E1" w:rsidRPr="002342AB" w:rsidRDefault="002342AB" w:rsidP="006765BA">
            <w:pPr>
              <w:spacing w:after="0" w:line="240" w:lineRule="auto"/>
              <w:rPr>
                <w:rFonts w:eastAsia="Times New Roman" w:cstheme="minorHAnsi"/>
                <w:b/>
                <w:bCs/>
                <w:color w:val="000000"/>
                <w:lang w:eastAsia="cs-CZ"/>
              </w:rPr>
            </w:pPr>
            <w:r w:rsidRPr="002342AB">
              <w:rPr>
                <w:rFonts w:cstheme="minorHAnsi"/>
                <w:color w:val="000000"/>
              </w:rPr>
              <w:t>v</w:t>
            </w:r>
            <w:r w:rsidR="006037E1" w:rsidRPr="002342AB">
              <w:rPr>
                <w:rFonts w:cstheme="minorHAnsi"/>
                <w:color w:val="000000"/>
              </w:rPr>
              <w:t>ýdaje Programu – plán</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2AD00FD2" w14:textId="569A01CE"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color w:val="000000"/>
              </w:rPr>
              <w:t>515</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0AFBA86F" w14:textId="6A7BA2F0"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color w:val="000000"/>
              </w:rPr>
              <w:t>1 095</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73796630" w14:textId="7BEBECA8"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color w:val="000000"/>
              </w:rPr>
              <w:t>1 605</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135244AA" w14:textId="317924C4"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color w:val="000000"/>
              </w:rPr>
              <w:t>1 900</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5620DFBC" w14:textId="61EB4C66" w:rsidR="006037E1" w:rsidRPr="002342AB" w:rsidRDefault="006037E1" w:rsidP="006765BA">
            <w:pPr>
              <w:spacing w:after="0" w:line="240" w:lineRule="auto"/>
              <w:jc w:val="right"/>
              <w:rPr>
                <w:rFonts w:eastAsia="Times New Roman" w:cstheme="minorHAnsi"/>
                <w:b/>
                <w:bCs/>
                <w:color w:val="000000"/>
                <w:lang w:eastAsia="cs-CZ"/>
              </w:rPr>
            </w:pPr>
            <w:r w:rsidRPr="002342AB">
              <w:rPr>
                <w:rFonts w:cstheme="minorHAnsi"/>
                <w:color w:val="000000"/>
              </w:rPr>
              <w:t>1 950</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46340F0E" w14:textId="70DAAB81" w:rsidR="006037E1" w:rsidRPr="002342AB" w:rsidRDefault="006037E1" w:rsidP="006765BA">
            <w:pPr>
              <w:spacing w:after="0" w:line="240" w:lineRule="auto"/>
              <w:jc w:val="right"/>
              <w:rPr>
                <w:rFonts w:eastAsia="Times New Roman" w:cstheme="minorHAnsi"/>
                <w:b/>
                <w:bCs/>
                <w:color w:val="000000"/>
                <w:highlight w:val="yellow"/>
                <w:lang w:eastAsia="cs-CZ"/>
              </w:rPr>
            </w:pPr>
            <w:r w:rsidRPr="002342AB">
              <w:rPr>
                <w:rFonts w:cstheme="minorHAnsi"/>
                <w:color w:val="000000"/>
              </w:rPr>
              <w:t>1 435</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56326B2B" w14:textId="6113FC19" w:rsidR="006037E1" w:rsidRPr="002342AB" w:rsidRDefault="006037E1" w:rsidP="006765BA">
            <w:pPr>
              <w:spacing w:after="0" w:line="240" w:lineRule="auto"/>
              <w:jc w:val="right"/>
              <w:rPr>
                <w:rFonts w:eastAsia="Times New Roman" w:cstheme="minorHAnsi"/>
                <w:b/>
                <w:bCs/>
                <w:color w:val="000000"/>
                <w:highlight w:val="yellow"/>
                <w:lang w:eastAsia="cs-CZ"/>
              </w:rPr>
            </w:pPr>
            <w:r w:rsidRPr="002342AB">
              <w:rPr>
                <w:rFonts w:cstheme="minorHAnsi"/>
                <w:color w:val="000000"/>
              </w:rPr>
              <w:t>855</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67463DB7" w14:textId="69162EC5" w:rsidR="006037E1" w:rsidRPr="002342AB" w:rsidRDefault="006037E1" w:rsidP="006765BA">
            <w:pPr>
              <w:spacing w:after="0" w:line="240" w:lineRule="auto"/>
              <w:jc w:val="right"/>
              <w:rPr>
                <w:rFonts w:eastAsia="Times New Roman" w:cstheme="minorHAnsi"/>
                <w:b/>
                <w:bCs/>
                <w:color w:val="000000"/>
                <w:highlight w:val="yellow"/>
                <w:lang w:eastAsia="cs-CZ"/>
              </w:rPr>
            </w:pPr>
            <w:r w:rsidRPr="002342AB">
              <w:rPr>
                <w:rFonts w:cstheme="minorHAnsi"/>
                <w:color w:val="000000"/>
              </w:rPr>
              <w:t>345</w:t>
            </w:r>
          </w:p>
        </w:tc>
        <w:tc>
          <w:tcPr>
            <w:tcW w:w="914" w:type="dxa"/>
            <w:tcBorders>
              <w:top w:val="nil"/>
              <w:left w:val="nil"/>
              <w:bottom w:val="single" w:sz="4" w:space="0" w:color="auto"/>
              <w:right w:val="single" w:sz="4" w:space="0" w:color="auto"/>
            </w:tcBorders>
            <w:shd w:val="clear" w:color="auto" w:fill="D9D9D9" w:themeFill="background1" w:themeFillShade="D9"/>
            <w:vAlign w:val="center"/>
          </w:tcPr>
          <w:p w14:paraId="0CBA814E" w14:textId="7984D6BB" w:rsidR="006037E1" w:rsidRPr="002342AB" w:rsidRDefault="006037E1" w:rsidP="006765BA">
            <w:pPr>
              <w:spacing w:after="0" w:line="240" w:lineRule="auto"/>
              <w:jc w:val="right"/>
              <w:rPr>
                <w:rFonts w:eastAsia="Times New Roman" w:cstheme="minorHAnsi"/>
                <w:b/>
                <w:bCs/>
                <w:color w:val="000000"/>
                <w:highlight w:val="yellow"/>
                <w:lang w:eastAsia="cs-CZ"/>
              </w:rPr>
            </w:pPr>
            <w:r w:rsidRPr="002342AB">
              <w:rPr>
                <w:rFonts w:cstheme="minorHAnsi"/>
                <w:color w:val="000000"/>
              </w:rPr>
              <w:t>9 700</w:t>
            </w:r>
          </w:p>
        </w:tc>
      </w:tr>
      <w:tr w:rsidR="0087377E" w:rsidRPr="002342AB" w14:paraId="1478C8A3" w14:textId="77777777" w:rsidTr="00687AC3">
        <w:trPr>
          <w:trHeight w:val="340"/>
        </w:trPr>
        <w:tc>
          <w:tcPr>
            <w:tcW w:w="2977"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0296C405" w14:textId="06CCDC8B" w:rsidR="006037E1" w:rsidRPr="002342AB" w:rsidRDefault="002342AB" w:rsidP="006765BA">
            <w:pPr>
              <w:spacing w:after="0" w:line="240" w:lineRule="auto"/>
              <w:rPr>
                <w:rFonts w:eastAsia="Times New Roman" w:cstheme="minorHAnsi"/>
                <w:color w:val="000000"/>
                <w:lang w:eastAsia="cs-CZ"/>
              </w:rPr>
            </w:pPr>
            <w:r w:rsidRPr="002342AB">
              <w:rPr>
                <w:rFonts w:cstheme="minorHAnsi"/>
                <w:color w:val="000000"/>
              </w:rPr>
              <w:t>s</w:t>
            </w:r>
            <w:r w:rsidR="006037E1" w:rsidRPr="002342AB">
              <w:rPr>
                <w:rFonts w:cstheme="minorHAnsi"/>
                <w:color w:val="000000"/>
              </w:rPr>
              <w:t>chválený rozpočet Programu</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6CEAA8DD" w14:textId="2C2AA81F"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0</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015D1735" w14:textId="0B8F9059"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600</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6B500C77" w14:textId="50DFB8CE"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1 233</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78FB249E" w14:textId="684B605D"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1 910</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55B8C2A6" w14:textId="1B6FFB00" w:rsidR="006037E1" w:rsidRPr="002342AB" w:rsidRDefault="006037E1" w:rsidP="006765BA">
            <w:pPr>
              <w:spacing w:after="0" w:line="240" w:lineRule="auto"/>
              <w:jc w:val="right"/>
              <w:rPr>
                <w:rFonts w:eastAsia="Times New Roman" w:cstheme="minorHAnsi"/>
                <w:color w:val="000000"/>
                <w:lang w:eastAsia="cs-CZ"/>
              </w:rPr>
            </w:pPr>
            <w:r w:rsidRPr="002342AB">
              <w:rPr>
                <w:rFonts w:cstheme="minorHAnsi"/>
                <w:color w:val="000000"/>
              </w:rPr>
              <w:t>1 365</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2C1040E2" w14:textId="57F7AAE9" w:rsidR="006037E1" w:rsidRPr="00687AC3" w:rsidRDefault="00687AC3" w:rsidP="006765BA">
            <w:pPr>
              <w:spacing w:after="0" w:line="240" w:lineRule="auto"/>
              <w:jc w:val="right"/>
              <w:rPr>
                <w:rFonts w:eastAsia="Times New Roman" w:cstheme="minorHAnsi"/>
                <w:color w:val="000000"/>
                <w:lang w:eastAsia="cs-CZ"/>
              </w:rPr>
            </w:pPr>
            <w:r w:rsidRPr="00687AC3">
              <w:rPr>
                <w:rFonts w:cstheme="minorHAnsi"/>
                <w:color w:val="000000"/>
              </w:rPr>
              <w:t>1 127</w:t>
            </w:r>
          </w:p>
        </w:tc>
        <w:tc>
          <w:tcPr>
            <w:tcW w:w="771" w:type="dxa"/>
            <w:tcBorders>
              <w:top w:val="nil"/>
              <w:left w:val="nil"/>
              <w:bottom w:val="single" w:sz="4" w:space="0" w:color="auto"/>
              <w:right w:val="single" w:sz="4" w:space="0" w:color="auto"/>
            </w:tcBorders>
            <w:shd w:val="clear" w:color="auto" w:fill="D9D9D9" w:themeFill="background1" w:themeFillShade="D9"/>
            <w:vAlign w:val="center"/>
          </w:tcPr>
          <w:p w14:paraId="0695EB22" w14:textId="3F833736" w:rsidR="006037E1" w:rsidRPr="00687AC3" w:rsidRDefault="006037E1" w:rsidP="006765BA">
            <w:pPr>
              <w:spacing w:after="0" w:line="240" w:lineRule="auto"/>
              <w:jc w:val="right"/>
              <w:rPr>
                <w:rFonts w:eastAsia="Times New Roman" w:cstheme="minorHAnsi"/>
                <w:color w:val="000000"/>
                <w:lang w:eastAsia="cs-CZ"/>
              </w:rPr>
            </w:pPr>
            <w:r w:rsidRPr="00687AC3">
              <w:rPr>
                <w:rFonts w:cstheme="minorHAnsi"/>
                <w:color w:val="000000"/>
              </w:rPr>
              <w:t>556</w:t>
            </w:r>
          </w:p>
        </w:tc>
        <w:tc>
          <w:tcPr>
            <w:tcW w:w="772" w:type="dxa"/>
            <w:tcBorders>
              <w:top w:val="nil"/>
              <w:left w:val="nil"/>
              <w:bottom w:val="single" w:sz="4" w:space="0" w:color="auto"/>
              <w:right w:val="single" w:sz="4" w:space="0" w:color="auto"/>
            </w:tcBorders>
            <w:shd w:val="clear" w:color="auto" w:fill="D9D9D9" w:themeFill="background1" w:themeFillShade="D9"/>
            <w:vAlign w:val="center"/>
          </w:tcPr>
          <w:p w14:paraId="406A2056" w14:textId="6506CF7C" w:rsidR="006037E1" w:rsidRPr="00687AC3" w:rsidRDefault="00687AC3" w:rsidP="006765BA">
            <w:pPr>
              <w:spacing w:after="0" w:line="240" w:lineRule="auto"/>
              <w:jc w:val="right"/>
              <w:rPr>
                <w:rFonts w:eastAsia="Times New Roman" w:cstheme="minorHAnsi"/>
                <w:color w:val="000000"/>
                <w:lang w:eastAsia="cs-CZ"/>
              </w:rPr>
            </w:pPr>
            <w:r w:rsidRPr="00687AC3">
              <w:rPr>
                <w:rFonts w:cstheme="minorHAnsi"/>
                <w:color w:val="000000"/>
              </w:rPr>
              <w:t>345</w:t>
            </w:r>
          </w:p>
        </w:tc>
        <w:tc>
          <w:tcPr>
            <w:tcW w:w="914" w:type="dxa"/>
            <w:tcBorders>
              <w:top w:val="nil"/>
              <w:left w:val="nil"/>
              <w:bottom w:val="single" w:sz="4" w:space="0" w:color="auto"/>
              <w:right w:val="single" w:sz="4" w:space="0" w:color="auto"/>
            </w:tcBorders>
            <w:shd w:val="clear" w:color="auto" w:fill="D9D9D9" w:themeFill="background1" w:themeFillShade="D9"/>
            <w:vAlign w:val="center"/>
          </w:tcPr>
          <w:p w14:paraId="42676ACB" w14:textId="7495437F" w:rsidR="006037E1" w:rsidRPr="002342AB" w:rsidRDefault="00944896" w:rsidP="006765BA">
            <w:pPr>
              <w:spacing w:after="0" w:line="240" w:lineRule="auto"/>
              <w:jc w:val="right"/>
              <w:rPr>
                <w:rFonts w:eastAsia="Times New Roman" w:cstheme="minorHAnsi"/>
                <w:color w:val="000000"/>
                <w:highlight w:val="yellow"/>
                <w:lang w:eastAsia="cs-CZ"/>
              </w:rPr>
            </w:pPr>
            <w:r>
              <w:rPr>
                <w:rFonts w:cstheme="minorHAnsi"/>
                <w:color w:val="000000"/>
              </w:rPr>
              <w:t>7 136</w:t>
            </w:r>
          </w:p>
        </w:tc>
      </w:tr>
    </w:tbl>
    <w:p w14:paraId="26D9E4B7" w14:textId="0B9EE7DA" w:rsidR="001F1364" w:rsidRDefault="008B0B2F" w:rsidP="005451E2">
      <w:pPr>
        <w:spacing w:before="240" w:after="120"/>
        <w:jc w:val="both"/>
      </w:pPr>
      <w:bookmarkStart w:id="20" w:name="_Toc533155545"/>
      <w:bookmarkEnd w:id="19"/>
      <w:r w:rsidRPr="005451E2">
        <w:t xml:space="preserve">V Programu byla vyhlášena ještě 12. VS </w:t>
      </w:r>
      <w:r w:rsidR="004F0373">
        <w:t>na</w:t>
      </w:r>
      <w:r w:rsidRPr="005451E2">
        <w:t> projekty financovan</w:t>
      </w:r>
      <w:r w:rsidR="004F0373">
        <w:t>é</w:t>
      </w:r>
      <w:r w:rsidRPr="005451E2">
        <w:t xml:space="preserve"> od roku 2025. Výdaje na tuto soutěž budou stanoveny až v závislosti na </w:t>
      </w:r>
      <w:r w:rsidR="005451E2" w:rsidRPr="005451E2">
        <w:t>možnostech státního rozpočtu a aktualizaci disponibilních zdrojů na Program</w:t>
      </w:r>
      <w:r w:rsidR="002342AB">
        <w:t xml:space="preserve"> ze strany poskytovatele</w:t>
      </w:r>
      <w:r w:rsidR="005451E2" w:rsidRPr="005451E2">
        <w:t>.</w:t>
      </w:r>
    </w:p>
    <w:p w14:paraId="0DB0F78F" w14:textId="11EC071F" w:rsidR="003A76BA" w:rsidRDefault="003A76BA" w:rsidP="0087377E">
      <w:pPr>
        <w:pStyle w:val="Titulek"/>
        <w:spacing w:before="480"/>
      </w:pPr>
      <w:r w:rsidRPr="00E05E20">
        <w:lastRenderedPageBreak/>
        <w:t>Výše dotace za jednotlivé veřejné soutěže po letech</w:t>
      </w:r>
      <w:bookmarkEnd w:id="20"/>
      <w:r w:rsidR="00AB4A9C">
        <w:t xml:space="preserve"> </w:t>
      </w:r>
      <w:r w:rsidR="00AB4A9C" w:rsidRPr="00E05E20">
        <w:t>(mil. Kč)</w:t>
      </w:r>
    </w:p>
    <w:p w14:paraId="3AC2F7FF" w14:textId="2ABB2124" w:rsidR="00E05E20" w:rsidRDefault="00E05E20" w:rsidP="00E05E20">
      <w:r>
        <w:rPr>
          <w:noProof/>
        </w:rPr>
        <w:drawing>
          <wp:inline distT="0" distB="0" distL="0" distR="0" wp14:anchorId="67F33758" wp14:editId="07AA87CB">
            <wp:extent cx="6120130" cy="3324860"/>
            <wp:effectExtent l="0" t="0" r="13970" b="8890"/>
            <wp:docPr id="2" name="Graf 2">
              <a:extLst xmlns:a="http://schemas.openxmlformats.org/drawingml/2006/main">
                <a:ext uri="{FF2B5EF4-FFF2-40B4-BE49-F238E27FC236}">
                  <a16:creationId xmlns:a16="http://schemas.microsoft.com/office/drawing/2014/main" id="{805C2979-75AD-4769-8C20-5E8A176CCC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E9FAEC" w14:textId="5AD5ABF6" w:rsidR="003A76BA" w:rsidRDefault="00AB2F57" w:rsidP="00E6582C">
      <w:pPr>
        <w:spacing w:after="120"/>
        <w:jc w:val="both"/>
      </w:pPr>
      <w:r>
        <w:t>Počty podpořených projektů</w:t>
      </w:r>
      <w:r w:rsidR="006037E1">
        <w:t xml:space="preserve"> v jednotlivých veřejných soutěžích</w:t>
      </w:r>
      <w:r>
        <w:t>, jejich náklady, celkovou výši dotace a</w:t>
      </w:r>
      <w:r w:rsidR="006037E1">
        <w:t> </w:t>
      </w:r>
      <w:r>
        <w:t xml:space="preserve">intenzitu podpory ukazuje přehledně následující tabulka. </w:t>
      </w:r>
    </w:p>
    <w:p w14:paraId="6E4EDF09" w14:textId="10F28B79" w:rsidR="00E6582C" w:rsidRDefault="00E6582C" w:rsidP="00A7392F">
      <w:pPr>
        <w:pStyle w:val="Titulek"/>
        <w:rPr>
          <w:szCs w:val="22"/>
        </w:rPr>
      </w:pPr>
      <w:bookmarkStart w:id="21" w:name="_Toc150180762"/>
      <w:bookmarkStart w:id="22" w:name="_Toc185334573"/>
      <w:bookmarkStart w:id="23" w:name="_Hlk184220434"/>
      <w:r w:rsidRPr="007C1F2C">
        <w:t xml:space="preserve">Tabulka </w:t>
      </w:r>
      <w:r w:rsidR="00353407">
        <w:fldChar w:fldCharType="begin"/>
      </w:r>
      <w:r w:rsidR="00353407">
        <w:instrText xml:space="preserve"> SEQ Tabulka \* ARABIC </w:instrText>
      </w:r>
      <w:r w:rsidR="00353407">
        <w:fldChar w:fldCharType="separate"/>
      </w:r>
      <w:r w:rsidR="00353407">
        <w:rPr>
          <w:noProof/>
        </w:rPr>
        <w:t>6</w:t>
      </w:r>
      <w:r w:rsidR="00353407">
        <w:rPr>
          <w:noProof/>
        </w:rPr>
        <w:fldChar w:fldCharType="end"/>
      </w:r>
      <w:r w:rsidRPr="007C1F2C">
        <w:t xml:space="preserve">: </w:t>
      </w:r>
      <w:r w:rsidR="00E050BC" w:rsidRPr="007C1F2C">
        <w:t>Podpořené projekty</w:t>
      </w:r>
      <w:r w:rsidR="00E050BC" w:rsidRPr="007C1F2C">
        <w:rPr>
          <w:szCs w:val="22"/>
        </w:rPr>
        <w:t xml:space="preserve"> </w:t>
      </w:r>
      <w:r w:rsidR="003F4E47">
        <w:rPr>
          <w:szCs w:val="22"/>
        </w:rPr>
        <w:t>po</w:t>
      </w:r>
      <w:r w:rsidRPr="007C1F2C">
        <w:rPr>
          <w:szCs w:val="22"/>
        </w:rPr>
        <w:t>dle jednotlivých VS</w:t>
      </w:r>
      <w:bookmarkEnd w:id="21"/>
      <w:bookmarkEnd w:id="22"/>
    </w:p>
    <w:tbl>
      <w:tblPr>
        <w:tblW w:w="9634" w:type="dxa"/>
        <w:tblLayout w:type="fixed"/>
        <w:tblCellMar>
          <w:left w:w="70" w:type="dxa"/>
          <w:right w:w="70" w:type="dxa"/>
        </w:tblCellMar>
        <w:tblLook w:val="04A0" w:firstRow="1" w:lastRow="0" w:firstColumn="1" w:lastColumn="0" w:noHBand="0" w:noVBand="1"/>
      </w:tblPr>
      <w:tblGrid>
        <w:gridCol w:w="1605"/>
        <w:gridCol w:w="1606"/>
        <w:gridCol w:w="1606"/>
        <w:gridCol w:w="1605"/>
        <w:gridCol w:w="1606"/>
        <w:gridCol w:w="1606"/>
      </w:tblGrid>
      <w:tr w:rsidR="001B1075" w:rsidRPr="007C1F2C" w14:paraId="1D6BEE8D" w14:textId="77777777" w:rsidTr="00EC32F8">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B9E0F7" w:themeFill="accent5"/>
            <w:noWrap/>
            <w:vAlign w:val="center"/>
            <w:hideMark/>
          </w:tcPr>
          <w:p w14:paraId="38685A96" w14:textId="545D937D" w:rsidR="001B1075" w:rsidRPr="007C1F2C" w:rsidRDefault="001B1075" w:rsidP="00EC32F8">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VS</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tcPr>
          <w:p w14:paraId="65BF0ED7" w14:textId="5AC43E75" w:rsidR="001B1075" w:rsidRPr="007C1F2C" w:rsidRDefault="001B1075" w:rsidP="00EC32F8">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Podprogram</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16680BE1" w14:textId="3087D339" w:rsidR="001B1075" w:rsidRPr="007C1F2C" w:rsidRDefault="001B1075" w:rsidP="00EC32F8">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Počet projektů</w:t>
            </w:r>
          </w:p>
        </w:tc>
        <w:tc>
          <w:tcPr>
            <w:tcW w:w="1605" w:type="dxa"/>
            <w:tcBorders>
              <w:top w:val="single" w:sz="4" w:space="0" w:color="auto"/>
              <w:left w:val="nil"/>
              <w:bottom w:val="single" w:sz="4" w:space="0" w:color="auto"/>
              <w:right w:val="single" w:sz="4" w:space="0" w:color="auto"/>
            </w:tcBorders>
            <w:shd w:val="clear" w:color="auto" w:fill="B9E0F7" w:themeFill="accent5"/>
            <w:vAlign w:val="center"/>
          </w:tcPr>
          <w:p w14:paraId="309C72FB" w14:textId="77777777" w:rsidR="001B1075" w:rsidRPr="007C1F2C" w:rsidRDefault="001B1075" w:rsidP="00EC32F8">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Výše dotace (mil. Kč)</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7CF3E285" w14:textId="48221C4F" w:rsidR="001B1075" w:rsidRPr="007C1F2C" w:rsidRDefault="00EC32F8" w:rsidP="00EC32F8">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U</w:t>
            </w:r>
            <w:r w:rsidR="001B1075" w:rsidRPr="007C1F2C">
              <w:rPr>
                <w:rFonts w:ascii="Calibri" w:eastAsia="Times New Roman" w:hAnsi="Calibri" w:cs="Times New Roman"/>
                <w:color w:val="000000"/>
                <w:lang w:eastAsia="cs-CZ"/>
              </w:rPr>
              <w:t>znané náklady (mil. Kč)</w:t>
            </w:r>
          </w:p>
        </w:tc>
        <w:tc>
          <w:tcPr>
            <w:tcW w:w="1606"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3345F244" w14:textId="77777777" w:rsidR="001B1075" w:rsidRPr="007C1F2C" w:rsidRDefault="001B1075" w:rsidP="00EC32F8">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Intenzita podpory</w:t>
            </w:r>
          </w:p>
        </w:tc>
      </w:tr>
      <w:tr w:rsidR="00F50C49" w:rsidRPr="007C1F2C" w14:paraId="1BC9CD77"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B5483"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1.VS</w:t>
            </w:r>
          </w:p>
        </w:tc>
        <w:tc>
          <w:tcPr>
            <w:tcW w:w="1606" w:type="dxa"/>
            <w:tcBorders>
              <w:top w:val="single" w:sz="4" w:space="0" w:color="auto"/>
              <w:left w:val="single" w:sz="4" w:space="0" w:color="auto"/>
              <w:bottom w:val="single" w:sz="4" w:space="0" w:color="auto"/>
              <w:right w:val="single" w:sz="4" w:space="0" w:color="auto"/>
            </w:tcBorders>
            <w:vAlign w:val="center"/>
          </w:tcPr>
          <w:p w14:paraId="11E92CFD" w14:textId="4D77436F" w:rsidR="00F50C49" w:rsidRPr="007C1F2C" w:rsidRDefault="00F50C49" w:rsidP="000C7C7D">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615C2" w14:textId="775CBFF5"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166</w:t>
            </w:r>
          </w:p>
        </w:tc>
        <w:tc>
          <w:tcPr>
            <w:tcW w:w="1605" w:type="dxa"/>
            <w:tcBorders>
              <w:top w:val="single" w:sz="4" w:space="0" w:color="auto"/>
              <w:left w:val="nil"/>
              <w:bottom w:val="single" w:sz="4" w:space="0" w:color="auto"/>
              <w:right w:val="single" w:sz="4" w:space="0" w:color="auto"/>
            </w:tcBorders>
            <w:shd w:val="clear" w:color="auto" w:fill="auto"/>
            <w:vAlign w:val="center"/>
          </w:tcPr>
          <w:p w14:paraId="4B0D8A18" w14:textId="0B660025"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2 831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793A8" w14:textId="67CFA6E5"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4 384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8852C" w14:textId="1471990F"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65</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71F414C8"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C17F6"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2.VS</w:t>
            </w:r>
          </w:p>
        </w:tc>
        <w:tc>
          <w:tcPr>
            <w:tcW w:w="1606" w:type="dxa"/>
            <w:tcBorders>
              <w:top w:val="single" w:sz="4" w:space="0" w:color="auto"/>
              <w:left w:val="single" w:sz="4" w:space="0" w:color="auto"/>
              <w:bottom w:val="single" w:sz="4" w:space="0" w:color="auto"/>
              <w:right w:val="single" w:sz="4" w:space="0" w:color="auto"/>
            </w:tcBorders>
            <w:vAlign w:val="center"/>
          </w:tcPr>
          <w:p w14:paraId="0A19F41B" w14:textId="5A1F7E35"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w:t>
            </w:r>
            <w:r>
              <w:rPr>
                <w:rFonts w:ascii="Calibri" w:eastAsia="Times New Roman" w:hAnsi="Calibri" w:cs="Times New Roman"/>
                <w:color w:val="000000"/>
                <w:lang w:eastAsia="cs-CZ"/>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00804" w14:textId="266ECAF7"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20</w:t>
            </w:r>
          </w:p>
        </w:tc>
        <w:tc>
          <w:tcPr>
            <w:tcW w:w="1605" w:type="dxa"/>
            <w:tcBorders>
              <w:top w:val="single" w:sz="4" w:space="0" w:color="auto"/>
              <w:left w:val="nil"/>
              <w:bottom w:val="single" w:sz="4" w:space="0" w:color="auto"/>
              <w:right w:val="single" w:sz="4" w:space="0" w:color="auto"/>
            </w:tcBorders>
            <w:shd w:val="clear" w:color="auto" w:fill="auto"/>
            <w:vAlign w:val="center"/>
          </w:tcPr>
          <w:p w14:paraId="4D905E83" w14:textId="624FBF8D"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w:t>
            </w:r>
            <w:r w:rsidR="008842EC" w:rsidRPr="000A7DC6">
              <w:t>18</w:t>
            </w:r>
            <w:r w:rsidR="008842EC">
              <w:t>6</w:t>
            </w:r>
            <w:r w:rsidR="008842EC"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6B85C" w14:textId="28745CB7"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w:t>
            </w:r>
            <w:r w:rsidR="00BE6A96" w:rsidRPr="000A7DC6">
              <w:t>2</w:t>
            </w:r>
            <w:r w:rsidR="00BE6A96">
              <w:t>48</w:t>
            </w:r>
            <w:r w:rsidR="00BE6A96"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630F" w14:textId="650994A9"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75</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bookmarkEnd w:id="23"/>
      <w:tr w:rsidR="00F50C49" w:rsidRPr="007C1F2C" w14:paraId="4B024B42"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E30CC"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3.VS</w:t>
            </w:r>
          </w:p>
        </w:tc>
        <w:tc>
          <w:tcPr>
            <w:tcW w:w="1606" w:type="dxa"/>
            <w:tcBorders>
              <w:top w:val="single" w:sz="4" w:space="0" w:color="auto"/>
              <w:left w:val="single" w:sz="4" w:space="0" w:color="auto"/>
              <w:bottom w:val="single" w:sz="4" w:space="0" w:color="auto"/>
              <w:right w:val="single" w:sz="4" w:space="0" w:color="auto"/>
            </w:tcBorders>
            <w:vAlign w:val="center"/>
          </w:tcPr>
          <w:p w14:paraId="0F763FEB" w14:textId="1376A068"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2CA90" w14:textId="44A8E760"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157</w:t>
            </w:r>
          </w:p>
        </w:tc>
        <w:tc>
          <w:tcPr>
            <w:tcW w:w="1605" w:type="dxa"/>
            <w:tcBorders>
              <w:top w:val="single" w:sz="4" w:space="0" w:color="auto"/>
              <w:left w:val="nil"/>
              <w:bottom w:val="single" w:sz="4" w:space="0" w:color="auto"/>
              <w:right w:val="single" w:sz="4" w:space="0" w:color="auto"/>
            </w:tcBorders>
            <w:shd w:val="clear" w:color="auto" w:fill="auto"/>
            <w:vAlign w:val="center"/>
          </w:tcPr>
          <w:p w14:paraId="6791E8F3" w14:textId="71F55678"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2 836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2AF2E" w14:textId="13159FD1"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4 43</w:t>
            </w:r>
            <w:r w:rsidR="008842EC">
              <w:t>6</w:t>
            </w:r>
            <w:r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7700B" w14:textId="3B990AC9"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64</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68268F94"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E0728"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4.VS</w:t>
            </w:r>
          </w:p>
        </w:tc>
        <w:tc>
          <w:tcPr>
            <w:tcW w:w="1606" w:type="dxa"/>
            <w:tcBorders>
              <w:top w:val="single" w:sz="4" w:space="0" w:color="auto"/>
              <w:left w:val="single" w:sz="4" w:space="0" w:color="auto"/>
              <w:bottom w:val="single" w:sz="4" w:space="0" w:color="auto"/>
              <w:right w:val="single" w:sz="4" w:space="0" w:color="auto"/>
            </w:tcBorders>
            <w:vAlign w:val="center"/>
          </w:tcPr>
          <w:p w14:paraId="0CF8E97C" w14:textId="109F07EE"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w:t>
            </w:r>
            <w:r>
              <w:rPr>
                <w:rFonts w:ascii="Calibri" w:eastAsia="Times New Roman" w:hAnsi="Calibri" w:cs="Times New Roman"/>
                <w:color w:val="000000"/>
                <w:lang w:eastAsia="cs-CZ"/>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55DC0" w14:textId="6024E5B6"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17</w:t>
            </w:r>
          </w:p>
        </w:tc>
        <w:tc>
          <w:tcPr>
            <w:tcW w:w="1605" w:type="dxa"/>
            <w:tcBorders>
              <w:top w:val="single" w:sz="4" w:space="0" w:color="auto"/>
              <w:left w:val="nil"/>
              <w:bottom w:val="single" w:sz="4" w:space="0" w:color="auto"/>
              <w:right w:val="single" w:sz="4" w:space="0" w:color="auto"/>
            </w:tcBorders>
            <w:shd w:val="clear" w:color="auto" w:fill="auto"/>
            <w:vAlign w:val="center"/>
          </w:tcPr>
          <w:p w14:paraId="1D5A6EE3" w14:textId="02C95448"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177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AFAA" w14:textId="7040F646"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243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BE53F" w14:textId="793F905E"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73</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04392658"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F1DF9"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6.VS</w:t>
            </w:r>
          </w:p>
        </w:tc>
        <w:tc>
          <w:tcPr>
            <w:tcW w:w="1606" w:type="dxa"/>
            <w:tcBorders>
              <w:top w:val="single" w:sz="4" w:space="0" w:color="auto"/>
              <w:left w:val="single" w:sz="4" w:space="0" w:color="auto"/>
              <w:bottom w:val="single" w:sz="4" w:space="0" w:color="auto"/>
              <w:right w:val="single" w:sz="4" w:space="0" w:color="auto"/>
            </w:tcBorders>
            <w:vAlign w:val="center"/>
          </w:tcPr>
          <w:p w14:paraId="66F7E473" w14:textId="64850E7D"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DA0F1" w14:textId="124B580A"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121</w:t>
            </w:r>
          </w:p>
        </w:tc>
        <w:tc>
          <w:tcPr>
            <w:tcW w:w="1605" w:type="dxa"/>
            <w:tcBorders>
              <w:top w:val="single" w:sz="4" w:space="0" w:color="auto"/>
              <w:left w:val="nil"/>
              <w:bottom w:val="single" w:sz="4" w:space="0" w:color="auto"/>
              <w:right w:val="single" w:sz="4" w:space="0" w:color="auto"/>
            </w:tcBorders>
            <w:shd w:val="clear" w:color="auto" w:fill="auto"/>
            <w:vAlign w:val="center"/>
          </w:tcPr>
          <w:p w14:paraId="0BE3FBF8" w14:textId="3FA0C568"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1 90</w:t>
            </w:r>
            <w:r w:rsidR="00F63EB2">
              <w:t>8</w:t>
            </w:r>
            <w:r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61855" w14:textId="7A5887B7"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2 912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5A68" w14:textId="16924DB4"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66</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766ECA80"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0BA4A"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7.VS</w:t>
            </w:r>
          </w:p>
        </w:tc>
        <w:tc>
          <w:tcPr>
            <w:tcW w:w="1606" w:type="dxa"/>
            <w:tcBorders>
              <w:top w:val="single" w:sz="4" w:space="0" w:color="auto"/>
              <w:left w:val="single" w:sz="4" w:space="0" w:color="auto"/>
              <w:bottom w:val="single" w:sz="4" w:space="0" w:color="auto"/>
              <w:right w:val="single" w:sz="4" w:space="0" w:color="auto"/>
            </w:tcBorders>
            <w:vAlign w:val="center"/>
          </w:tcPr>
          <w:p w14:paraId="67DAB964" w14:textId="5F89CD6A"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764D4" w14:textId="1C8CCC04"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10</w:t>
            </w:r>
          </w:p>
        </w:tc>
        <w:tc>
          <w:tcPr>
            <w:tcW w:w="1605" w:type="dxa"/>
            <w:tcBorders>
              <w:top w:val="single" w:sz="4" w:space="0" w:color="auto"/>
              <w:left w:val="nil"/>
              <w:bottom w:val="single" w:sz="4" w:space="0" w:color="auto"/>
              <w:right w:val="single" w:sz="4" w:space="0" w:color="auto"/>
            </w:tcBorders>
            <w:shd w:val="clear" w:color="auto" w:fill="auto"/>
            <w:vAlign w:val="center"/>
          </w:tcPr>
          <w:p w14:paraId="0763D87C" w14:textId="78DCEAFC"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115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4BAC1" w14:textId="17ED9D81"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172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D504F" w14:textId="05BBA712"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67</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312EA1A3"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B8E9B"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8.VS</w:t>
            </w:r>
          </w:p>
        </w:tc>
        <w:tc>
          <w:tcPr>
            <w:tcW w:w="1606" w:type="dxa"/>
            <w:tcBorders>
              <w:top w:val="single" w:sz="4" w:space="0" w:color="auto"/>
              <w:left w:val="single" w:sz="4" w:space="0" w:color="auto"/>
              <w:bottom w:val="single" w:sz="4" w:space="0" w:color="auto"/>
              <w:right w:val="single" w:sz="4" w:space="0" w:color="auto"/>
            </w:tcBorders>
            <w:vAlign w:val="center"/>
          </w:tcPr>
          <w:p w14:paraId="255D9E9A" w14:textId="449A4CF3"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A9EC2" w14:textId="1343074D"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14</w:t>
            </w:r>
          </w:p>
        </w:tc>
        <w:tc>
          <w:tcPr>
            <w:tcW w:w="1605" w:type="dxa"/>
            <w:tcBorders>
              <w:top w:val="single" w:sz="4" w:space="0" w:color="auto"/>
              <w:left w:val="nil"/>
              <w:bottom w:val="single" w:sz="4" w:space="0" w:color="auto"/>
              <w:right w:val="single" w:sz="4" w:space="0" w:color="auto"/>
            </w:tcBorders>
            <w:shd w:val="clear" w:color="auto" w:fill="auto"/>
            <w:vAlign w:val="center"/>
          </w:tcPr>
          <w:p w14:paraId="0D295923" w14:textId="5FAFE8F2"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16</w:t>
            </w:r>
            <w:r w:rsidR="00CC6EFD">
              <w:t>2</w:t>
            </w:r>
            <w:r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D5355" w14:textId="69C4CFBA"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25</w:t>
            </w:r>
            <w:r w:rsidR="00CC6EFD">
              <w:t>2</w:t>
            </w:r>
            <w:r w:rsidRPr="000A7DC6">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29F85" w14:textId="0B050541"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64</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F50C49" w:rsidRPr="007C1F2C" w14:paraId="32884DA4"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BA867" w14:textId="77777777" w:rsidR="00F50C49" w:rsidRPr="007C1F2C" w:rsidRDefault="00F50C49"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9.VS</w:t>
            </w:r>
          </w:p>
        </w:tc>
        <w:tc>
          <w:tcPr>
            <w:tcW w:w="1606" w:type="dxa"/>
            <w:tcBorders>
              <w:top w:val="single" w:sz="4" w:space="0" w:color="auto"/>
              <w:left w:val="single" w:sz="4" w:space="0" w:color="auto"/>
              <w:bottom w:val="single" w:sz="4" w:space="0" w:color="auto"/>
              <w:right w:val="single" w:sz="4" w:space="0" w:color="auto"/>
            </w:tcBorders>
            <w:vAlign w:val="center"/>
          </w:tcPr>
          <w:p w14:paraId="1EC18368" w14:textId="5AD6CB7C" w:rsidR="00F50C49" w:rsidRPr="007C1F2C" w:rsidRDefault="00F50C49" w:rsidP="000C7C7D">
            <w:pPr>
              <w:spacing w:after="0" w:line="240" w:lineRule="auto"/>
              <w:rPr>
                <w:rFonts w:ascii="Calibri" w:eastAsia="Times New Roman" w:hAnsi="Calibri" w:cs="Times New Roman"/>
                <w:color w:val="000000"/>
                <w:lang w:eastAsia="cs-CZ"/>
              </w:rPr>
            </w:pPr>
            <w:r w:rsidRPr="0082612A">
              <w:rPr>
                <w:rFonts w:ascii="Calibri" w:eastAsia="Times New Roman" w:hAnsi="Calibri" w:cs="Times New Roman"/>
                <w:color w:val="000000"/>
                <w:lang w:eastAsia="cs-CZ"/>
              </w:rPr>
              <w:t>PP</w:t>
            </w:r>
            <w:r>
              <w:rPr>
                <w:rFonts w:ascii="Calibri" w:eastAsia="Times New Roman" w:hAnsi="Calibri" w:cs="Times New Roman"/>
                <w:color w:val="000000"/>
                <w:lang w:eastAsia="cs-CZ"/>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86E7B" w14:textId="732B91CD"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20</w:t>
            </w:r>
          </w:p>
        </w:tc>
        <w:tc>
          <w:tcPr>
            <w:tcW w:w="1605" w:type="dxa"/>
            <w:tcBorders>
              <w:top w:val="single" w:sz="4" w:space="0" w:color="auto"/>
              <w:left w:val="nil"/>
              <w:bottom w:val="single" w:sz="4" w:space="0" w:color="auto"/>
              <w:right w:val="single" w:sz="4" w:space="0" w:color="auto"/>
            </w:tcBorders>
            <w:shd w:val="clear" w:color="auto" w:fill="auto"/>
            <w:vAlign w:val="center"/>
          </w:tcPr>
          <w:p w14:paraId="18333037" w14:textId="3D6C71AA"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188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D650D" w14:textId="404FC6A0" w:rsidR="00F50C49" w:rsidRPr="007C1F2C" w:rsidRDefault="00F50C49" w:rsidP="000C7C7D">
            <w:pPr>
              <w:spacing w:after="0" w:line="240" w:lineRule="auto"/>
              <w:jc w:val="right"/>
              <w:rPr>
                <w:rFonts w:ascii="Calibri" w:eastAsia="Times New Roman" w:hAnsi="Calibri" w:cs="Times New Roman"/>
                <w:color w:val="000000"/>
                <w:lang w:eastAsia="cs-CZ"/>
              </w:rPr>
            </w:pPr>
            <w:r w:rsidRPr="000A7DC6">
              <w:t xml:space="preserve"> 255 </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A90F8" w14:textId="5AA74C6E" w:rsidR="00F50C49" w:rsidRPr="007C1F2C" w:rsidRDefault="00F50C49"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74</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9A6CD5" w:rsidRPr="007C1F2C" w14:paraId="64DBF337"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56B57" w14:textId="6F72D1ED" w:rsidR="009A6CD5" w:rsidRPr="007C1F2C" w:rsidRDefault="009A6CD5" w:rsidP="000C7C7D">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10.VS</w:t>
            </w:r>
          </w:p>
        </w:tc>
        <w:tc>
          <w:tcPr>
            <w:tcW w:w="1606" w:type="dxa"/>
            <w:tcBorders>
              <w:top w:val="single" w:sz="4" w:space="0" w:color="auto"/>
              <w:left w:val="single" w:sz="4" w:space="0" w:color="auto"/>
              <w:bottom w:val="single" w:sz="4" w:space="0" w:color="auto"/>
              <w:right w:val="single" w:sz="4" w:space="0" w:color="auto"/>
            </w:tcBorders>
            <w:vAlign w:val="center"/>
          </w:tcPr>
          <w:p w14:paraId="4CF3C91D" w14:textId="1952866D" w:rsidR="009A6CD5" w:rsidRPr="0082612A" w:rsidRDefault="009A6CD5" w:rsidP="000C7C7D">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3F773594" w14:textId="1B51D114" w:rsidR="009A6CD5" w:rsidRPr="000A7DC6" w:rsidRDefault="009A6CD5" w:rsidP="000C7C7D">
            <w:pPr>
              <w:spacing w:after="0" w:line="240" w:lineRule="auto"/>
              <w:jc w:val="right"/>
            </w:pPr>
            <w:r>
              <w:t>121</w:t>
            </w:r>
          </w:p>
        </w:tc>
        <w:tc>
          <w:tcPr>
            <w:tcW w:w="1605" w:type="dxa"/>
            <w:tcBorders>
              <w:top w:val="single" w:sz="4" w:space="0" w:color="auto"/>
              <w:left w:val="nil"/>
              <w:bottom w:val="single" w:sz="4" w:space="0" w:color="auto"/>
              <w:right w:val="single" w:sz="4" w:space="0" w:color="auto"/>
            </w:tcBorders>
            <w:shd w:val="clear" w:color="auto" w:fill="auto"/>
            <w:vAlign w:val="center"/>
          </w:tcPr>
          <w:p w14:paraId="5B4F32A6" w14:textId="7652294C" w:rsidR="009A6CD5" w:rsidRPr="000A7DC6" w:rsidRDefault="009A6CD5" w:rsidP="000C7C7D">
            <w:pPr>
              <w:spacing w:after="0" w:line="240" w:lineRule="auto"/>
              <w:jc w:val="right"/>
            </w:pPr>
            <w:r>
              <w:t>1</w:t>
            </w:r>
            <w:r w:rsidR="00EC32F8">
              <w:t xml:space="preserve"> </w:t>
            </w:r>
            <w:r>
              <w:t>782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0856F9E0" w14:textId="490733C2" w:rsidR="009A6CD5" w:rsidRPr="000A7DC6" w:rsidRDefault="009A6CD5" w:rsidP="000C7C7D">
            <w:pPr>
              <w:spacing w:after="0" w:line="240" w:lineRule="auto"/>
              <w:jc w:val="right"/>
            </w:pPr>
            <w:r>
              <w:t>2</w:t>
            </w:r>
            <w:r w:rsidR="00EC32F8">
              <w:t xml:space="preserve"> </w:t>
            </w:r>
            <w:r>
              <w:t>750</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0BBCCB9D" w14:textId="0212B290" w:rsidR="009A6CD5" w:rsidRPr="007C1F2C" w:rsidRDefault="009A6CD5" w:rsidP="000C7C7D">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65 %</w:t>
            </w:r>
          </w:p>
        </w:tc>
      </w:tr>
      <w:tr w:rsidR="009A6CD5" w:rsidRPr="007C1F2C" w14:paraId="0347B85A"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B14B1" w14:textId="3DE13C63" w:rsidR="009A6CD5" w:rsidRDefault="009A6CD5" w:rsidP="000C7C7D">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11.VS</w:t>
            </w:r>
          </w:p>
        </w:tc>
        <w:tc>
          <w:tcPr>
            <w:tcW w:w="1606" w:type="dxa"/>
            <w:tcBorders>
              <w:top w:val="single" w:sz="4" w:space="0" w:color="auto"/>
              <w:left w:val="single" w:sz="4" w:space="0" w:color="auto"/>
              <w:bottom w:val="single" w:sz="4" w:space="0" w:color="auto"/>
              <w:right w:val="single" w:sz="4" w:space="0" w:color="auto"/>
            </w:tcBorders>
            <w:vAlign w:val="center"/>
          </w:tcPr>
          <w:p w14:paraId="02759861" w14:textId="0707B958" w:rsidR="009A6CD5" w:rsidRPr="0082612A" w:rsidRDefault="009A6CD5" w:rsidP="000C7C7D">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PP2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74637F0D" w14:textId="4BDE651E" w:rsidR="009A6CD5" w:rsidRPr="00D55DE4" w:rsidRDefault="00596461" w:rsidP="000C7C7D">
            <w:pPr>
              <w:spacing w:after="0" w:line="240" w:lineRule="auto"/>
              <w:jc w:val="right"/>
            </w:pPr>
            <w:r w:rsidRPr="00D55DE4">
              <w:t>24</w:t>
            </w:r>
          </w:p>
        </w:tc>
        <w:tc>
          <w:tcPr>
            <w:tcW w:w="1605" w:type="dxa"/>
            <w:tcBorders>
              <w:top w:val="single" w:sz="4" w:space="0" w:color="auto"/>
              <w:left w:val="nil"/>
              <w:bottom w:val="single" w:sz="4" w:space="0" w:color="auto"/>
              <w:right w:val="single" w:sz="4" w:space="0" w:color="auto"/>
            </w:tcBorders>
            <w:shd w:val="clear" w:color="auto" w:fill="auto"/>
            <w:vAlign w:val="center"/>
          </w:tcPr>
          <w:p w14:paraId="280E104F" w14:textId="2DDA1581" w:rsidR="009A6CD5" w:rsidRPr="00D55DE4" w:rsidRDefault="00F63EB2" w:rsidP="000C7C7D">
            <w:pPr>
              <w:spacing w:after="0" w:line="240" w:lineRule="auto"/>
              <w:jc w:val="right"/>
            </w:pPr>
            <w:r>
              <w:t>279</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3E94778C" w14:textId="2277B508" w:rsidR="009A6CD5" w:rsidRPr="00D55DE4" w:rsidRDefault="00F63EB2" w:rsidP="000C7C7D">
            <w:pPr>
              <w:spacing w:after="0" w:line="240" w:lineRule="auto"/>
              <w:jc w:val="right"/>
            </w:pPr>
            <w:r>
              <w:t>377</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60BB0F52" w14:textId="6568AC1A" w:rsidR="009A6CD5" w:rsidRPr="00D55DE4" w:rsidRDefault="009A6CD5" w:rsidP="000C7C7D">
            <w:pPr>
              <w:spacing w:after="0" w:line="240" w:lineRule="auto"/>
              <w:jc w:val="right"/>
              <w:rPr>
                <w:rFonts w:ascii="Calibri" w:eastAsia="Times New Roman" w:hAnsi="Calibri" w:cs="Times New Roman"/>
                <w:color w:val="000000"/>
                <w:lang w:eastAsia="cs-CZ"/>
              </w:rPr>
            </w:pPr>
            <w:r w:rsidRPr="00D55DE4">
              <w:rPr>
                <w:rFonts w:ascii="Calibri" w:eastAsia="Times New Roman" w:hAnsi="Calibri" w:cs="Times New Roman"/>
                <w:color w:val="000000"/>
                <w:lang w:eastAsia="cs-CZ"/>
              </w:rPr>
              <w:t>7</w:t>
            </w:r>
            <w:r w:rsidR="00152F46" w:rsidRPr="00D55DE4">
              <w:rPr>
                <w:rFonts w:ascii="Calibri" w:eastAsia="Times New Roman" w:hAnsi="Calibri" w:cs="Times New Roman"/>
                <w:color w:val="000000"/>
                <w:lang w:eastAsia="cs-CZ"/>
              </w:rPr>
              <w:t>4</w:t>
            </w:r>
            <w:r w:rsidRPr="00D55DE4">
              <w:rPr>
                <w:rFonts w:ascii="Calibri" w:eastAsia="Times New Roman" w:hAnsi="Calibri" w:cs="Times New Roman"/>
                <w:color w:val="000000"/>
                <w:lang w:eastAsia="cs-CZ"/>
              </w:rPr>
              <w:t xml:space="preserve"> %</w:t>
            </w:r>
          </w:p>
        </w:tc>
      </w:tr>
      <w:tr w:rsidR="0060009C" w:rsidRPr="007C1F2C" w14:paraId="470E0633"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EB9DA" w14:textId="68F2370B" w:rsidR="0060009C" w:rsidRPr="0060009C" w:rsidRDefault="0060009C" w:rsidP="000C7C7D">
            <w:pPr>
              <w:spacing w:after="0" w:line="240" w:lineRule="auto"/>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Lídři celkem</w:t>
            </w:r>
          </w:p>
        </w:tc>
        <w:tc>
          <w:tcPr>
            <w:tcW w:w="1606" w:type="dxa"/>
            <w:tcBorders>
              <w:top w:val="single" w:sz="4" w:space="0" w:color="auto"/>
              <w:left w:val="single" w:sz="4" w:space="0" w:color="auto"/>
              <w:bottom w:val="single" w:sz="4" w:space="0" w:color="auto"/>
              <w:right w:val="single" w:sz="4" w:space="0" w:color="auto"/>
            </w:tcBorders>
            <w:vAlign w:val="center"/>
          </w:tcPr>
          <w:p w14:paraId="23DC9F83" w14:textId="2E919272" w:rsidR="0060009C" w:rsidRPr="0060009C" w:rsidRDefault="0060009C" w:rsidP="000C7C7D">
            <w:pPr>
              <w:spacing w:after="0" w:line="240" w:lineRule="auto"/>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PP1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61E02AB9" w14:textId="32F3FCE4" w:rsidR="0060009C" w:rsidRPr="0060009C" w:rsidRDefault="0060009C" w:rsidP="000C7C7D">
            <w:pPr>
              <w:spacing w:after="0" w:line="240" w:lineRule="auto"/>
              <w:jc w:val="right"/>
              <w:rPr>
                <w:b/>
                <w:bCs/>
              </w:rPr>
            </w:pPr>
            <w:r w:rsidRPr="0060009C">
              <w:rPr>
                <w:b/>
                <w:bCs/>
              </w:rPr>
              <w:t>589</w:t>
            </w:r>
          </w:p>
        </w:tc>
        <w:tc>
          <w:tcPr>
            <w:tcW w:w="1605" w:type="dxa"/>
            <w:tcBorders>
              <w:top w:val="single" w:sz="4" w:space="0" w:color="auto"/>
              <w:left w:val="nil"/>
              <w:bottom w:val="single" w:sz="4" w:space="0" w:color="auto"/>
              <w:right w:val="single" w:sz="4" w:space="0" w:color="auto"/>
            </w:tcBorders>
            <w:shd w:val="clear" w:color="auto" w:fill="auto"/>
            <w:vAlign w:val="center"/>
          </w:tcPr>
          <w:p w14:paraId="6FD3D5A5" w14:textId="49C75FEF" w:rsidR="0060009C" w:rsidRPr="0060009C" w:rsidRDefault="0060009C" w:rsidP="000C7C7D">
            <w:pPr>
              <w:spacing w:after="0" w:line="240" w:lineRule="auto"/>
              <w:jc w:val="right"/>
              <w:rPr>
                <w:b/>
                <w:bCs/>
              </w:rPr>
            </w:pPr>
            <w:r w:rsidRPr="0060009C">
              <w:rPr>
                <w:b/>
                <w:bCs/>
              </w:rPr>
              <w:t>9 634</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CB7FE00" w14:textId="50D3D845" w:rsidR="0060009C" w:rsidRPr="0060009C" w:rsidRDefault="0060009C" w:rsidP="000C7C7D">
            <w:pPr>
              <w:spacing w:after="0" w:line="240" w:lineRule="auto"/>
              <w:jc w:val="right"/>
              <w:rPr>
                <w:b/>
                <w:bCs/>
              </w:rPr>
            </w:pPr>
            <w:r w:rsidRPr="0060009C">
              <w:rPr>
                <w:b/>
                <w:bCs/>
              </w:rPr>
              <w:t>14 90</w:t>
            </w:r>
            <w:r w:rsidR="00CC6EFD">
              <w:rPr>
                <w:b/>
                <w:bCs/>
              </w:rPr>
              <w:t>6</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997FE93" w14:textId="4FE8C799" w:rsidR="0060009C" w:rsidRPr="0060009C" w:rsidRDefault="0060009C" w:rsidP="000C7C7D">
            <w:pPr>
              <w:spacing w:after="0" w:line="240" w:lineRule="auto"/>
              <w:jc w:val="right"/>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65 %</w:t>
            </w:r>
          </w:p>
        </w:tc>
      </w:tr>
      <w:tr w:rsidR="0060009C" w:rsidRPr="007C1F2C" w14:paraId="0E58C7CF" w14:textId="77777777" w:rsidTr="000C7C7D">
        <w:trPr>
          <w:trHeight w:val="337"/>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722E3" w14:textId="176BCCF9" w:rsidR="0060009C" w:rsidRPr="0060009C" w:rsidRDefault="0060009C" w:rsidP="000C7C7D">
            <w:pPr>
              <w:spacing w:after="0" w:line="240" w:lineRule="auto"/>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Nováčci celkem</w:t>
            </w:r>
          </w:p>
        </w:tc>
        <w:tc>
          <w:tcPr>
            <w:tcW w:w="1606" w:type="dxa"/>
            <w:tcBorders>
              <w:top w:val="single" w:sz="4" w:space="0" w:color="auto"/>
              <w:left w:val="single" w:sz="4" w:space="0" w:color="auto"/>
              <w:bottom w:val="single" w:sz="4" w:space="0" w:color="auto"/>
              <w:right w:val="single" w:sz="4" w:space="0" w:color="auto"/>
            </w:tcBorders>
            <w:vAlign w:val="center"/>
          </w:tcPr>
          <w:p w14:paraId="14C22487" w14:textId="50184864" w:rsidR="0060009C" w:rsidRPr="0060009C" w:rsidRDefault="0060009C" w:rsidP="000C7C7D">
            <w:pPr>
              <w:spacing w:after="0" w:line="240" w:lineRule="auto"/>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PP2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76FFFC26" w14:textId="1FE175A3" w:rsidR="0060009C" w:rsidRPr="0060009C" w:rsidRDefault="0060009C" w:rsidP="000C7C7D">
            <w:pPr>
              <w:spacing w:after="0" w:line="240" w:lineRule="auto"/>
              <w:jc w:val="right"/>
              <w:rPr>
                <w:b/>
                <w:bCs/>
              </w:rPr>
            </w:pPr>
            <w:r w:rsidRPr="0060009C">
              <w:rPr>
                <w:b/>
                <w:bCs/>
              </w:rPr>
              <w:t>81</w:t>
            </w:r>
          </w:p>
        </w:tc>
        <w:tc>
          <w:tcPr>
            <w:tcW w:w="1605" w:type="dxa"/>
            <w:tcBorders>
              <w:top w:val="single" w:sz="4" w:space="0" w:color="auto"/>
              <w:left w:val="nil"/>
              <w:bottom w:val="single" w:sz="4" w:space="0" w:color="auto"/>
              <w:right w:val="single" w:sz="4" w:space="0" w:color="auto"/>
            </w:tcBorders>
            <w:shd w:val="clear" w:color="auto" w:fill="auto"/>
            <w:vAlign w:val="center"/>
          </w:tcPr>
          <w:p w14:paraId="557924FB" w14:textId="5F4F7C4A" w:rsidR="0060009C" w:rsidRPr="0060009C" w:rsidRDefault="0060009C" w:rsidP="000C7C7D">
            <w:pPr>
              <w:spacing w:after="0" w:line="240" w:lineRule="auto"/>
              <w:jc w:val="right"/>
              <w:rPr>
                <w:b/>
                <w:bCs/>
              </w:rPr>
            </w:pPr>
            <w:r w:rsidRPr="0060009C">
              <w:rPr>
                <w:b/>
                <w:bCs/>
              </w:rPr>
              <w:t>83</w:t>
            </w:r>
            <w:r w:rsidR="00CC6EFD">
              <w:rPr>
                <w:b/>
                <w:bCs/>
              </w:rPr>
              <w:t>0</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38C8FAC" w14:textId="667B2E21" w:rsidR="0060009C" w:rsidRPr="0060009C" w:rsidRDefault="0060009C" w:rsidP="000C7C7D">
            <w:pPr>
              <w:spacing w:after="0" w:line="240" w:lineRule="auto"/>
              <w:jc w:val="right"/>
              <w:rPr>
                <w:b/>
                <w:bCs/>
              </w:rPr>
            </w:pPr>
            <w:r w:rsidRPr="0060009C">
              <w:rPr>
                <w:b/>
                <w:bCs/>
              </w:rPr>
              <w:t>1 12</w:t>
            </w:r>
            <w:r w:rsidR="00CC6EFD">
              <w:rPr>
                <w:b/>
                <w:bCs/>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62706ED5" w14:textId="2AC8D900" w:rsidR="0060009C" w:rsidRPr="0060009C" w:rsidRDefault="0060009C" w:rsidP="000C7C7D">
            <w:pPr>
              <w:spacing w:after="0" w:line="240" w:lineRule="auto"/>
              <w:jc w:val="right"/>
              <w:rPr>
                <w:rFonts w:ascii="Calibri" w:eastAsia="Times New Roman" w:hAnsi="Calibri" w:cs="Times New Roman"/>
                <w:b/>
                <w:bCs/>
                <w:color w:val="000000"/>
                <w:lang w:eastAsia="cs-CZ"/>
              </w:rPr>
            </w:pPr>
            <w:r w:rsidRPr="0060009C">
              <w:rPr>
                <w:rFonts w:ascii="Calibri" w:eastAsia="Times New Roman" w:hAnsi="Calibri" w:cs="Times New Roman"/>
                <w:b/>
                <w:bCs/>
                <w:color w:val="000000"/>
                <w:lang w:eastAsia="cs-CZ"/>
              </w:rPr>
              <w:t>74 %</w:t>
            </w:r>
          </w:p>
        </w:tc>
      </w:tr>
      <w:tr w:rsidR="0060009C" w:rsidRPr="007C1F2C" w14:paraId="0BB15DC4" w14:textId="77777777" w:rsidTr="0088473E">
        <w:trPr>
          <w:trHeight w:val="337"/>
        </w:trPr>
        <w:tc>
          <w:tcPr>
            <w:tcW w:w="32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F01FD" w14:textId="35FDFC37" w:rsidR="0060009C" w:rsidRPr="007C1F2C" w:rsidRDefault="0060009C" w:rsidP="000C7C7D">
            <w:pPr>
              <w:spacing w:after="0" w:line="240" w:lineRule="auto"/>
              <w:rPr>
                <w:rFonts w:ascii="Calibri" w:eastAsia="Times New Roman" w:hAnsi="Calibri" w:cs="Times New Roman"/>
                <w:b/>
                <w:bCs/>
                <w:color w:val="000000"/>
                <w:lang w:eastAsia="cs-CZ"/>
              </w:rPr>
            </w:pPr>
            <w:r w:rsidRPr="007C1F2C">
              <w:rPr>
                <w:rFonts w:ascii="Calibri" w:eastAsia="Times New Roman" w:hAnsi="Calibri" w:cs="Times New Roman"/>
                <w:b/>
                <w:bCs/>
                <w:color w:val="000000"/>
                <w:lang w:eastAsia="cs-CZ"/>
              </w:rPr>
              <w:t>CELKEM</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C27B6" w14:textId="7B9F441F" w:rsidR="0060009C" w:rsidRPr="00D55DE4" w:rsidRDefault="0060009C" w:rsidP="000C7C7D">
            <w:pPr>
              <w:spacing w:after="0" w:line="240" w:lineRule="auto"/>
              <w:jc w:val="right"/>
              <w:rPr>
                <w:rFonts w:ascii="Calibri" w:eastAsia="Times New Roman" w:hAnsi="Calibri" w:cs="Times New Roman"/>
                <w:b/>
                <w:bCs/>
                <w:color w:val="000000"/>
                <w:lang w:eastAsia="cs-CZ"/>
              </w:rPr>
            </w:pPr>
            <w:r w:rsidRPr="00D55DE4">
              <w:rPr>
                <w:rFonts w:ascii="Calibri" w:eastAsia="Times New Roman" w:hAnsi="Calibri" w:cs="Times New Roman"/>
                <w:b/>
                <w:bCs/>
                <w:color w:val="000000"/>
                <w:lang w:eastAsia="cs-CZ"/>
              </w:rPr>
              <w:t>670</w:t>
            </w:r>
          </w:p>
        </w:tc>
        <w:tc>
          <w:tcPr>
            <w:tcW w:w="1605" w:type="dxa"/>
            <w:tcBorders>
              <w:top w:val="single" w:sz="4" w:space="0" w:color="auto"/>
              <w:left w:val="nil"/>
              <w:bottom w:val="single" w:sz="4" w:space="0" w:color="auto"/>
              <w:right w:val="single" w:sz="4" w:space="0" w:color="auto"/>
            </w:tcBorders>
            <w:shd w:val="clear" w:color="auto" w:fill="auto"/>
            <w:vAlign w:val="center"/>
          </w:tcPr>
          <w:p w14:paraId="215C463D" w14:textId="280561EF" w:rsidR="0060009C" w:rsidRPr="00D55DE4" w:rsidRDefault="0060009C" w:rsidP="000C7C7D">
            <w:pPr>
              <w:spacing w:after="0" w:line="240" w:lineRule="auto"/>
              <w:jc w:val="right"/>
              <w:rPr>
                <w:rFonts w:ascii="Calibri" w:eastAsia="Times New Roman" w:hAnsi="Calibri" w:cs="Times New Roman"/>
                <w:b/>
                <w:bCs/>
                <w:color w:val="000000"/>
                <w:lang w:eastAsia="cs-CZ"/>
              </w:rPr>
            </w:pPr>
            <w:r w:rsidRPr="00D55DE4">
              <w:rPr>
                <w:rFonts w:ascii="Calibri" w:eastAsia="Times New Roman" w:hAnsi="Calibri" w:cs="Times New Roman"/>
                <w:b/>
                <w:bCs/>
                <w:color w:val="000000"/>
                <w:lang w:eastAsia="cs-CZ"/>
              </w:rPr>
              <w:t>10 464</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F52D2" w14:textId="2F986841" w:rsidR="0060009C" w:rsidRPr="00D55DE4" w:rsidRDefault="0060009C" w:rsidP="000C7C7D">
            <w:pPr>
              <w:spacing w:after="0" w:line="240" w:lineRule="auto"/>
              <w:jc w:val="right"/>
              <w:rPr>
                <w:rFonts w:ascii="Calibri" w:eastAsia="Times New Roman" w:hAnsi="Calibri" w:cs="Times New Roman"/>
                <w:b/>
                <w:bCs/>
                <w:color w:val="000000"/>
                <w:lang w:eastAsia="cs-CZ"/>
              </w:rPr>
            </w:pPr>
            <w:r w:rsidRPr="00D55DE4">
              <w:rPr>
                <w:rFonts w:ascii="Calibri" w:eastAsia="Times New Roman" w:hAnsi="Calibri" w:cs="Times New Roman"/>
                <w:b/>
                <w:bCs/>
                <w:color w:val="000000"/>
                <w:lang w:eastAsia="cs-CZ"/>
              </w:rPr>
              <w:t>16</w:t>
            </w:r>
            <w:r>
              <w:rPr>
                <w:rFonts w:ascii="Calibri" w:eastAsia="Times New Roman" w:hAnsi="Calibri" w:cs="Times New Roman"/>
                <w:b/>
                <w:bCs/>
                <w:color w:val="000000"/>
                <w:lang w:eastAsia="cs-CZ"/>
              </w:rPr>
              <w:t xml:space="preserve"> </w:t>
            </w:r>
            <w:r w:rsidRPr="00D55DE4">
              <w:rPr>
                <w:rFonts w:ascii="Calibri" w:eastAsia="Times New Roman" w:hAnsi="Calibri" w:cs="Times New Roman"/>
                <w:b/>
                <w:bCs/>
                <w:color w:val="000000"/>
                <w:lang w:eastAsia="cs-CZ"/>
              </w:rPr>
              <w:t>028</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93920" w14:textId="5F2BEC2E" w:rsidR="0060009C" w:rsidRPr="00D55DE4" w:rsidRDefault="0060009C" w:rsidP="000C7C7D">
            <w:pPr>
              <w:spacing w:after="0" w:line="240" w:lineRule="auto"/>
              <w:jc w:val="right"/>
              <w:rPr>
                <w:rFonts w:ascii="Calibri" w:eastAsia="Times New Roman" w:hAnsi="Calibri" w:cs="Times New Roman"/>
                <w:b/>
                <w:bCs/>
                <w:color w:val="000000"/>
                <w:lang w:eastAsia="cs-CZ"/>
              </w:rPr>
            </w:pPr>
            <w:r w:rsidRPr="00D55DE4">
              <w:rPr>
                <w:rFonts w:ascii="Calibri" w:eastAsia="Times New Roman" w:hAnsi="Calibri" w:cs="Times New Roman"/>
                <w:b/>
                <w:bCs/>
                <w:color w:val="000000"/>
                <w:lang w:eastAsia="cs-CZ"/>
              </w:rPr>
              <w:t>65 %</w:t>
            </w:r>
          </w:p>
        </w:tc>
      </w:tr>
    </w:tbl>
    <w:p w14:paraId="6189BCDF" w14:textId="38F1125F" w:rsidR="00C64C24" w:rsidRDefault="00C64C24" w:rsidP="00AB2F57">
      <w:pPr>
        <w:spacing w:before="240" w:after="120"/>
        <w:jc w:val="both"/>
        <w:rPr>
          <w:szCs w:val="24"/>
        </w:rPr>
      </w:pPr>
      <w:r>
        <w:t xml:space="preserve">Program omezoval intenzitu podpory na každý jednotlivý projekt limitem 70 % pro PP1 a 80 % pro PP2. Ve druhém podprogramu se očekával jednak vyšší podíl malých a středních podniků, jednak zejména o něco vyšší zastoupení výzkumných organizací, s ohledem na jejich roli garanta úrovně kvality VaV pro projekty „nováčků“, proto i o něco vyšší intenzita podpory. </w:t>
      </w:r>
      <w:r>
        <w:rPr>
          <w:szCs w:val="24"/>
        </w:rPr>
        <w:t>Dosažená intenzita podpory je dle očekávání o něco vyšší v soutěžích PP2 než v soutěžích PP1. V souhrnu odpovídá zatím dosahovaná intenzita podpory v Programu plánované hodnotě, tedy 65 %.</w:t>
      </w:r>
    </w:p>
    <w:p w14:paraId="1F67F782" w14:textId="2474C763" w:rsidR="004A4879" w:rsidRDefault="004A4879" w:rsidP="005876A4">
      <w:pPr>
        <w:spacing w:after="120"/>
        <w:jc w:val="both"/>
        <w:rPr>
          <w:szCs w:val="24"/>
        </w:rPr>
      </w:pPr>
      <w:r w:rsidRPr="006814C9">
        <w:rPr>
          <w:szCs w:val="24"/>
        </w:rPr>
        <w:lastRenderedPageBreak/>
        <w:t xml:space="preserve">Ve všech případech </w:t>
      </w:r>
      <w:r>
        <w:rPr>
          <w:szCs w:val="24"/>
        </w:rPr>
        <w:t xml:space="preserve">hlavní </w:t>
      </w:r>
      <w:r w:rsidRPr="006814C9">
        <w:rPr>
          <w:szCs w:val="24"/>
        </w:rPr>
        <w:t>příjemc</w:t>
      </w:r>
      <w:r>
        <w:rPr>
          <w:szCs w:val="24"/>
        </w:rPr>
        <w:t>e</w:t>
      </w:r>
      <w:r w:rsidRPr="006814C9">
        <w:rPr>
          <w:szCs w:val="24"/>
        </w:rPr>
        <w:t xml:space="preserve"> podpory</w:t>
      </w:r>
      <w:r>
        <w:rPr>
          <w:szCs w:val="24"/>
        </w:rPr>
        <w:t xml:space="preserve"> (koordinátory) představují</w:t>
      </w:r>
      <w:r w:rsidRPr="006814C9">
        <w:rPr>
          <w:szCs w:val="24"/>
        </w:rPr>
        <w:t xml:space="preserve"> podniky. Nejčastěji se jedná o</w:t>
      </w:r>
      <w:r w:rsidR="00CE7C79">
        <w:rPr>
          <w:szCs w:val="24"/>
        </w:rPr>
        <w:t> </w:t>
      </w:r>
      <w:r w:rsidRPr="006814C9">
        <w:rPr>
          <w:szCs w:val="24"/>
        </w:rPr>
        <w:t>malé podniky</w:t>
      </w:r>
      <w:r w:rsidR="006959B1">
        <w:rPr>
          <w:szCs w:val="24"/>
        </w:rPr>
        <w:t xml:space="preserve">, </w:t>
      </w:r>
      <w:r w:rsidR="00CC1735">
        <w:rPr>
          <w:szCs w:val="24"/>
        </w:rPr>
        <w:t>výrazně nižší je počet středních i velkých podniků v této roli. Projekty koordinované většími podniky mají dle očekávání v průměru o něco vyšší částku uznaných nákladů</w:t>
      </w:r>
      <w:r w:rsidR="00C729A7">
        <w:rPr>
          <w:szCs w:val="24"/>
        </w:rPr>
        <w:t>,</w:t>
      </w:r>
      <w:r w:rsidR="00CC1735">
        <w:rPr>
          <w:szCs w:val="24"/>
        </w:rPr>
        <w:t xml:space="preserve"> a i přes o něco málo nižší intenzitu podpory u těchto projektů je u nich zároveň vyšší (proti projektům koordinovaným menšími podniky) i částka poskytnuté dotace. </w:t>
      </w:r>
    </w:p>
    <w:p w14:paraId="5C5BA9D4" w14:textId="26FFDCFF" w:rsidR="005876A4" w:rsidRDefault="005876A4" w:rsidP="00A7392F">
      <w:pPr>
        <w:pStyle w:val="Titulek"/>
      </w:pPr>
      <w:bookmarkStart w:id="24" w:name="_Toc150180763"/>
      <w:bookmarkStart w:id="25" w:name="_Toc185334574"/>
      <w:r w:rsidRPr="007C1F2C">
        <w:t xml:space="preserve">Tabulka </w:t>
      </w:r>
      <w:r w:rsidR="00353407">
        <w:fldChar w:fldCharType="begin"/>
      </w:r>
      <w:r w:rsidR="00353407">
        <w:instrText xml:space="preserve"> SEQ Tabulka \* AR</w:instrText>
      </w:r>
      <w:r w:rsidR="00353407">
        <w:instrText xml:space="preserve">ABIC </w:instrText>
      </w:r>
      <w:r w:rsidR="00353407">
        <w:fldChar w:fldCharType="separate"/>
      </w:r>
      <w:r w:rsidR="00353407">
        <w:rPr>
          <w:noProof/>
        </w:rPr>
        <w:t>7</w:t>
      </w:r>
      <w:r w:rsidR="00353407">
        <w:rPr>
          <w:noProof/>
        </w:rPr>
        <w:fldChar w:fldCharType="end"/>
      </w:r>
      <w:r w:rsidRPr="007C1F2C">
        <w:t>: P</w:t>
      </w:r>
      <w:r w:rsidR="003F4E47">
        <w:t>odpořené p</w:t>
      </w:r>
      <w:r w:rsidRPr="007C1F2C">
        <w:t>rojekty podle typu příjemce (koordinátora)</w:t>
      </w:r>
      <w:bookmarkEnd w:id="24"/>
      <w:bookmarkEnd w:id="25"/>
    </w:p>
    <w:tbl>
      <w:tblPr>
        <w:tblW w:w="7247" w:type="dxa"/>
        <w:tblLayout w:type="fixed"/>
        <w:tblCellMar>
          <w:left w:w="70" w:type="dxa"/>
          <w:right w:w="70" w:type="dxa"/>
        </w:tblCellMar>
        <w:tblLook w:val="04A0" w:firstRow="1" w:lastRow="0" w:firstColumn="1" w:lastColumn="0" w:noHBand="0" w:noVBand="1"/>
      </w:tblPr>
      <w:tblGrid>
        <w:gridCol w:w="1160"/>
        <w:gridCol w:w="1156"/>
        <w:gridCol w:w="1223"/>
        <w:gridCol w:w="1089"/>
        <w:gridCol w:w="1463"/>
        <w:gridCol w:w="1156"/>
      </w:tblGrid>
      <w:tr w:rsidR="00D55DE4" w:rsidRPr="007C1F2C" w14:paraId="5A1B9036" w14:textId="77777777" w:rsidTr="00D55DE4">
        <w:trPr>
          <w:trHeight w:val="600"/>
        </w:trPr>
        <w:tc>
          <w:tcPr>
            <w:tcW w:w="1160"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08A97928" w14:textId="77777777" w:rsidR="00D55DE4" w:rsidRPr="007C1F2C" w:rsidRDefault="00D55DE4"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Typ organizace</w:t>
            </w:r>
          </w:p>
        </w:tc>
        <w:tc>
          <w:tcPr>
            <w:tcW w:w="1156" w:type="dxa"/>
            <w:tcBorders>
              <w:top w:val="single" w:sz="4" w:space="0" w:color="auto"/>
              <w:left w:val="nil"/>
              <w:bottom w:val="single" w:sz="4" w:space="0" w:color="auto"/>
              <w:right w:val="single" w:sz="4" w:space="0" w:color="auto"/>
            </w:tcBorders>
            <w:shd w:val="clear" w:color="auto" w:fill="B9E0F7" w:themeFill="accent5"/>
            <w:vAlign w:val="center"/>
            <w:hideMark/>
          </w:tcPr>
          <w:p w14:paraId="689999F8" w14:textId="77777777" w:rsidR="00D55DE4" w:rsidRPr="007C1F2C" w:rsidRDefault="00D55DE4"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Počet projektů</w:t>
            </w:r>
          </w:p>
        </w:tc>
        <w:tc>
          <w:tcPr>
            <w:tcW w:w="1223" w:type="dxa"/>
            <w:tcBorders>
              <w:top w:val="single" w:sz="4" w:space="0" w:color="auto"/>
              <w:left w:val="nil"/>
              <w:bottom w:val="single" w:sz="4" w:space="0" w:color="auto"/>
              <w:right w:val="single" w:sz="4" w:space="0" w:color="auto"/>
            </w:tcBorders>
            <w:shd w:val="clear" w:color="auto" w:fill="B9E0F7" w:themeFill="accent5"/>
            <w:vAlign w:val="center"/>
            <w:hideMark/>
          </w:tcPr>
          <w:p w14:paraId="67B49FE6" w14:textId="77777777" w:rsidR="00D55DE4" w:rsidRPr="007C1F2C" w:rsidRDefault="00D55DE4"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Výše dotace (mil. Kč)</w:t>
            </w:r>
          </w:p>
        </w:tc>
        <w:tc>
          <w:tcPr>
            <w:tcW w:w="1089" w:type="dxa"/>
            <w:tcBorders>
              <w:top w:val="single" w:sz="4" w:space="0" w:color="auto"/>
              <w:left w:val="nil"/>
              <w:bottom w:val="single" w:sz="4" w:space="0" w:color="auto"/>
              <w:right w:val="single" w:sz="4" w:space="0" w:color="auto"/>
            </w:tcBorders>
            <w:shd w:val="clear" w:color="auto" w:fill="B9E0F7" w:themeFill="accent5"/>
          </w:tcPr>
          <w:p w14:paraId="6521F6BA" w14:textId="10C83E03" w:rsidR="00D55DE4" w:rsidRPr="007C1F2C" w:rsidRDefault="00D55DE4" w:rsidP="007C1F2C">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Průměrná výše dotace na projekt (mil. Kč)</w:t>
            </w:r>
          </w:p>
        </w:tc>
        <w:tc>
          <w:tcPr>
            <w:tcW w:w="1463" w:type="dxa"/>
            <w:tcBorders>
              <w:top w:val="single" w:sz="4" w:space="0" w:color="auto"/>
              <w:left w:val="single" w:sz="4" w:space="0" w:color="auto"/>
              <w:bottom w:val="single" w:sz="4" w:space="0" w:color="auto"/>
              <w:right w:val="single" w:sz="4" w:space="0" w:color="auto"/>
            </w:tcBorders>
            <w:shd w:val="clear" w:color="auto" w:fill="B9E0F7" w:themeFill="accent5"/>
            <w:vAlign w:val="center"/>
            <w:hideMark/>
          </w:tcPr>
          <w:p w14:paraId="6F2CA690" w14:textId="04E450C5" w:rsidR="00D55DE4" w:rsidRDefault="00D55DE4" w:rsidP="007C1F2C">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Celkové náklady</w:t>
            </w:r>
          </w:p>
          <w:p w14:paraId="17672E79" w14:textId="33EB9129" w:rsidR="00D55DE4" w:rsidRPr="007C1F2C" w:rsidRDefault="00D55DE4"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(mil. Kč)</w:t>
            </w:r>
          </w:p>
        </w:tc>
        <w:tc>
          <w:tcPr>
            <w:tcW w:w="1156" w:type="dxa"/>
            <w:tcBorders>
              <w:top w:val="single" w:sz="4" w:space="0" w:color="auto"/>
              <w:left w:val="nil"/>
              <w:bottom w:val="single" w:sz="4" w:space="0" w:color="auto"/>
              <w:right w:val="single" w:sz="4" w:space="0" w:color="auto"/>
            </w:tcBorders>
            <w:shd w:val="clear" w:color="auto" w:fill="B9E0F7" w:themeFill="accent5"/>
            <w:vAlign w:val="center"/>
            <w:hideMark/>
          </w:tcPr>
          <w:p w14:paraId="67E51320" w14:textId="77777777" w:rsidR="00D55DE4" w:rsidRPr="007C1F2C" w:rsidRDefault="00D55DE4"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Intenzita podpory</w:t>
            </w:r>
          </w:p>
        </w:tc>
      </w:tr>
      <w:tr w:rsidR="00D55DE4" w:rsidRPr="007C1F2C" w14:paraId="38BC09B1" w14:textId="77777777" w:rsidTr="00D55DE4">
        <w:trPr>
          <w:trHeight w:val="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83C6F" w14:textId="77777777" w:rsidR="00D55DE4" w:rsidRPr="007C1F2C" w:rsidRDefault="00D55DE4"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MP</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15B35FD8" w14:textId="553F1062" w:rsidR="00D55DE4" w:rsidRPr="007C1F2C" w:rsidRDefault="00D55DE4" w:rsidP="000C7C7D">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327</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1D709C24" w14:textId="76890413" w:rsidR="00D55DE4" w:rsidRPr="007C1F2C" w:rsidRDefault="00D55DE4" w:rsidP="000C7C7D">
            <w:pPr>
              <w:spacing w:after="0" w:line="240" w:lineRule="auto"/>
              <w:jc w:val="right"/>
              <w:rPr>
                <w:rFonts w:ascii="Calibri" w:eastAsia="Times New Roman" w:hAnsi="Calibri" w:cs="Times New Roman"/>
                <w:color w:val="000000"/>
                <w:lang w:eastAsia="cs-CZ"/>
              </w:rPr>
            </w:pPr>
            <w:r w:rsidRPr="00774298">
              <w:t xml:space="preserve"> </w:t>
            </w:r>
            <w:r>
              <w:t>4 583</w:t>
            </w:r>
            <w:r w:rsidRPr="00774298">
              <w:t xml:space="preserve"> </w:t>
            </w:r>
          </w:p>
        </w:tc>
        <w:tc>
          <w:tcPr>
            <w:tcW w:w="1089" w:type="dxa"/>
            <w:tcBorders>
              <w:top w:val="single" w:sz="4" w:space="0" w:color="auto"/>
              <w:left w:val="nil"/>
              <w:bottom w:val="single" w:sz="4" w:space="0" w:color="auto"/>
              <w:right w:val="single" w:sz="4" w:space="0" w:color="auto"/>
            </w:tcBorders>
            <w:vAlign w:val="center"/>
          </w:tcPr>
          <w:p w14:paraId="0C71941C" w14:textId="02E26BB6" w:rsidR="00D55DE4" w:rsidRPr="007C1F2C" w:rsidRDefault="00D55DE4" w:rsidP="000C7C7D">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14,0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CD2D" w14:textId="7F125C3E" w:rsidR="00D55DE4" w:rsidRPr="007C1F2C" w:rsidRDefault="00D55DE4" w:rsidP="000C7C7D">
            <w:pPr>
              <w:spacing w:after="0" w:line="240" w:lineRule="auto"/>
              <w:jc w:val="right"/>
              <w:rPr>
                <w:rFonts w:ascii="Calibri" w:eastAsia="Times New Roman" w:hAnsi="Calibri" w:cs="Times New Roman"/>
                <w:color w:val="000000"/>
                <w:lang w:eastAsia="cs-CZ"/>
              </w:rPr>
            </w:pPr>
            <w:r>
              <w:t>6 616</w:t>
            </w:r>
            <w:r w:rsidRPr="00381382">
              <w:t xml:space="preserve"> </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5D147CB" w14:textId="3FC2AEC9" w:rsidR="00D55DE4" w:rsidRPr="007C1F2C" w:rsidRDefault="00D55DE4"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69</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D55DE4" w:rsidRPr="007C1F2C" w14:paraId="61D9AEC9" w14:textId="77777777" w:rsidTr="00D55DE4">
        <w:trPr>
          <w:trHeight w:val="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CA810" w14:textId="77777777" w:rsidR="00D55DE4" w:rsidRPr="007C1F2C" w:rsidRDefault="00D55DE4"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SP</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65842B4" w14:textId="5FDF1584" w:rsidR="00D55DE4" w:rsidRPr="007C1F2C" w:rsidRDefault="00D55DE4"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1</w:t>
            </w:r>
            <w:r>
              <w:rPr>
                <w:rFonts w:ascii="Calibri" w:eastAsia="Times New Roman" w:hAnsi="Calibri" w:cs="Times New Roman"/>
                <w:color w:val="000000"/>
                <w:lang w:eastAsia="cs-CZ"/>
              </w:rPr>
              <w:t>61</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6303EBE0" w14:textId="28184F30" w:rsidR="00D55DE4" w:rsidRPr="007C1F2C" w:rsidRDefault="00D55DE4" w:rsidP="000C7C7D">
            <w:pPr>
              <w:spacing w:after="0" w:line="240" w:lineRule="auto"/>
              <w:jc w:val="right"/>
              <w:rPr>
                <w:rFonts w:ascii="Calibri" w:eastAsia="Times New Roman" w:hAnsi="Calibri" w:cs="Times New Roman"/>
                <w:color w:val="000000"/>
                <w:lang w:eastAsia="cs-CZ"/>
              </w:rPr>
            </w:pPr>
            <w:r w:rsidRPr="00774298">
              <w:t xml:space="preserve"> </w:t>
            </w:r>
            <w:r>
              <w:t xml:space="preserve">2 571 </w:t>
            </w:r>
            <w:r w:rsidRPr="00774298">
              <w:t xml:space="preserve"> </w:t>
            </w:r>
          </w:p>
        </w:tc>
        <w:tc>
          <w:tcPr>
            <w:tcW w:w="1089" w:type="dxa"/>
            <w:tcBorders>
              <w:top w:val="single" w:sz="4" w:space="0" w:color="auto"/>
              <w:left w:val="nil"/>
              <w:bottom w:val="single" w:sz="4" w:space="0" w:color="auto"/>
              <w:right w:val="single" w:sz="4" w:space="0" w:color="auto"/>
            </w:tcBorders>
            <w:vAlign w:val="center"/>
          </w:tcPr>
          <w:p w14:paraId="004499A0" w14:textId="2938F2D6" w:rsidR="00D55DE4" w:rsidRPr="007C1F2C" w:rsidRDefault="00D55DE4" w:rsidP="000C7C7D">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16,0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CCD37" w14:textId="69E5675D" w:rsidR="00D55DE4" w:rsidRPr="007C1F2C" w:rsidRDefault="00D55DE4" w:rsidP="000C7C7D">
            <w:pPr>
              <w:spacing w:after="0" w:line="240" w:lineRule="auto"/>
              <w:jc w:val="right"/>
              <w:rPr>
                <w:rFonts w:ascii="Calibri" w:eastAsia="Times New Roman" w:hAnsi="Calibri" w:cs="Times New Roman"/>
                <w:color w:val="000000"/>
                <w:lang w:eastAsia="cs-CZ"/>
              </w:rPr>
            </w:pPr>
            <w:r w:rsidRPr="00381382">
              <w:t xml:space="preserve"> </w:t>
            </w:r>
            <w:r>
              <w:t xml:space="preserve">3 </w:t>
            </w:r>
            <w:r w:rsidR="00295B96">
              <w:t>964</w:t>
            </w:r>
            <w:r w:rsidR="00295B96" w:rsidRPr="00381382">
              <w:t xml:space="preserve"> </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6E2378AE" w14:textId="2AB81CF4" w:rsidR="00D55DE4" w:rsidRPr="007C1F2C" w:rsidRDefault="00D55DE4"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65</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D55DE4" w:rsidRPr="007C1F2C" w14:paraId="7AB40760" w14:textId="77777777" w:rsidTr="00D55DE4">
        <w:trPr>
          <w:trHeight w:val="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32D5B" w14:textId="77777777" w:rsidR="00D55DE4" w:rsidRPr="007C1F2C" w:rsidRDefault="00D55DE4" w:rsidP="000C7C7D">
            <w:pPr>
              <w:spacing w:after="0" w:line="240" w:lineRule="auto"/>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VP</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35C0022E" w14:textId="25C7DF81" w:rsidR="00D55DE4" w:rsidRPr="007C1F2C" w:rsidRDefault="00D55DE4"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1</w:t>
            </w:r>
            <w:r>
              <w:rPr>
                <w:rFonts w:ascii="Calibri" w:eastAsia="Times New Roman" w:hAnsi="Calibri" w:cs="Times New Roman"/>
                <w:color w:val="000000"/>
                <w:lang w:eastAsia="cs-CZ"/>
              </w:rPr>
              <w:t>82</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22207DF2" w14:textId="7F87C52E" w:rsidR="00D55DE4" w:rsidRPr="007C1F2C" w:rsidRDefault="00D55DE4" w:rsidP="000C7C7D">
            <w:pPr>
              <w:spacing w:after="0" w:line="240" w:lineRule="auto"/>
              <w:jc w:val="right"/>
              <w:rPr>
                <w:rFonts w:ascii="Calibri" w:eastAsia="Times New Roman" w:hAnsi="Calibri" w:cs="Times New Roman"/>
                <w:color w:val="000000"/>
                <w:lang w:eastAsia="cs-CZ"/>
              </w:rPr>
            </w:pPr>
            <w:r>
              <w:t>3 310</w:t>
            </w:r>
            <w:r w:rsidRPr="00774298">
              <w:t xml:space="preserve"> </w:t>
            </w:r>
          </w:p>
        </w:tc>
        <w:tc>
          <w:tcPr>
            <w:tcW w:w="1089" w:type="dxa"/>
            <w:tcBorders>
              <w:top w:val="single" w:sz="4" w:space="0" w:color="auto"/>
              <w:left w:val="nil"/>
              <w:bottom w:val="single" w:sz="4" w:space="0" w:color="auto"/>
              <w:right w:val="single" w:sz="4" w:space="0" w:color="auto"/>
            </w:tcBorders>
            <w:vAlign w:val="center"/>
          </w:tcPr>
          <w:p w14:paraId="68B139BE" w14:textId="77E644C6" w:rsidR="00D55DE4" w:rsidRPr="007C1F2C" w:rsidRDefault="00D55DE4" w:rsidP="000C7C7D">
            <w:pPr>
              <w:spacing w:after="0" w:line="240" w:lineRule="auto"/>
              <w:jc w:val="right"/>
              <w:rPr>
                <w:rFonts w:ascii="Calibri" w:eastAsia="Times New Roman" w:hAnsi="Calibri" w:cs="Times New Roman"/>
                <w:color w:val="000000"/>
                <w:lang w:eastAsia="cs-CZ"/>
              </w:rPr>
            </w:pPr>
            <w:r>
              <w:rPr>
                <w:rFonts w:ascii="Calibri" w:eastAsia="Times New Roman" w:hAnsi="Calibri" w:cs="Times New Roman"/>
                <w:color w:val="000000"/>
                <w:lang w:eastAsia="cs-CZ"/>
              </w:rPr>
              <w:t>18,2</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C8195" w14:textId="474A8024" w:rsidR="00D55DE4" w:rsidRPr="007C1F2C" w:rsidRDefault="00D55DE4" w:rsidP="000C7C7D">
            <w:pPr>
              <w:spacing w:after="0" w:line="240" w:lineRule="auto"/>
              <w:jc w:val="right"/>
              <w:rPr>
                <w:rFonts w:ascii="Calibri" w:eastAsia="Times New Roman" w:hAnsi="Calibri" w:cs="Times New Roman"/>
                <w:color w:val="000000"/>
                <w:lang w:eastAsia="cs-CZ"/>
              </w:rPr>
            </w:pPr>
            <w:r w:rsidRPr="00381382">
              <w:t xml:space="preserve"> </w:t>
            </w:r>
            <w:r>
              <w:t>5 448</w:t>
            </w:r>
            <w:r w:rsidRPr="00381382">
              <w:t xml:space="preserve"> </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44AB4CF4" w14:textId="743B7E80" w:rsidR="00D55DE4" w:rsidRPr="007C1F2C" w:rsidRDefault="00D55DE4" w:rsidP="000C7C7D">
            <w:pPr>
              <w:spacing w:after="0" w:line="240" w:lineRule="auto"/>
              <w:jc w:val="right"/>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61</w:t>
            </w:r>
            <w:r>
              <w:rPr>
                <w:rFonts w:ascii="Calibri" w:eastAsia="Times New Roman" w:hAnsi="Calibri" w:cs="Times New Roman"/>
                <w:color w:val="000000"/>
                <w:lang w:eastAsia="cs-CZ"/>
              </w:rPr>
              <w:t xml:space="preserve"> </w:t>
            </w:r>
            <w:r w:rsidRPr="007C1F2C">
              <w:rPr>
                <w:rFonts w:ascii="Calibri" w:eastAsia="Times New Roman" w:hAnsi="Calibri" w:cs="Times New Roman"/>
                <w:color w:val="000000"/>
                <w:lang w:eastAsia="cs-CZ"/>
              </w:rPr>
              <w:t>%</w:t>
            </w:r>
          </w:p>
        </w:tc>
      </w:tr>
      <w:tr w:rsidR="00D55DE4" w:rsidRPr="007C1F2C" w14:paraId="055BAB89" w14:textId="77777777" w:rsidTr="00D55DE4">
        <w:trPr>
          <w:trHeight w:val="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BECCD" w14:textId="77777777" w:rsidR="00D55DE4" w:rsidRPr="007C1F2C" w:rsidRDefault="00D55DE4" w:rsidP="000C7C7D">
            <w:pPr>
              <w:spacing w:after="0" w:line="240" w:lineRule="auto"/>
              <w:rPr>
                <w:rFonts w:ascii="Calibri" w:eastAsia="Times New Roman" w:hAnsi="Calibri" w:cs="Times New Roman"/>
                <w:b/>
                <w:bCs/>
                <w:color w:val="000000"/>
                <w:lang w:eastAsia="cs-CZ"/>
              </w:rPr>
            </w:pPr>
            <w:r w:rsidRPr="007C1F2C">
              <w:rPr>
                <w:rFonts w:ascii="Calibri" w:eastAsia="Times New Roman" w:hAnsi="Calibri" w:cs="Times New Roman"/>
                <w:b/>
                <w:bCs/>
                <w:color w:val="000000"/>
                <w:lang w:eastAsia="cs-CZ"/>
              </w:rPr>
              <w:t>CELKEM</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E086948" w14:textId="238B4AD6" w:rsidR="00D55DE4" w:rsidRPr="007C1F2C" w:rsidRDefault="00D55DE4" w:rsidP="000C7C7D">
            <w:pPr>
              <w:spacing w:after="0" w:line="240" w:lineRule="auto"/>
              <w:jc w:val="right"/>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670</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23BBF62E" w14:textId="16D1BBC6" w:rsidR="00D55DE4" w:rsidRPr="00192F98" w:rsidRDefault="00D55DE4" w:rsidP="000C7C7D">
            <w:pPr>
              <w:spacing w:after="0" w:line="240" w:lineRule="auto"/>
              <w:jc w:val="right"/>
              <w:rPr>
                <w:rFonts w:ascii="Calibri" w:eastAsia="Times New Roman" w:hAnsi="Calibri" w:cs="Times New Roman"/>
                <w:b/>
                <w:bCs/>
                <w:color w:val="000000"/>
                <w:lang w:eastAsia="cs-CZ"/>
              </w:rPr>
            </w:pPr>
            <w:r w:rsidRPr="00192F98">
              <w:rPr>
                <w:b/>
                <w:bCs/>
              </w:rPr>
              <w:t xml:space="preserve">10 </w:t>
            </w:r>
            <w:r>
              <w:rPr>
                <w:b/>
                <w:bCs/>
              </w:rPr>
              <w:t>464</w:t>
            </w:r>
            <w:r w:rsidRPr="00192F98">
              <w:rPr>
                <w:b/>
                <w:bCs/>
              </w:rPr>
              <w:t xml:space="preserve"> </w:t>
            </w:r>
          </w:p>
        </w:tc>
        <w:tc>
          <w:tcPr>
            <w:tcW w:w="1089" w:type="dxa"/>
            <w:tcBorders>
              <w:top w:val="single" w:sz="4" w:space="0" w:color="auto"/>
              <w:left w:val="nil"/>
              <w:bottom w:val="single" w:sz="4" w:space="0" w:color="auto"/>
              <w:right w:val="single" w:sz="4" w:space="0" w:color="auto"/>
            </w:tcBorders>
            <w:vAlign w:val="center"/>
          </w:tcPr>
          <w:p w14:paraId="2CF376D2" w14:textId="2C0ECD12" w:rsidR="00D55DE4" w:rsidRPr="007C1F2C" w:rsidRDefault="00D55DE4" w:rsidP="000C7C7D">
            <w:pPr>
              <w:spacing w:after="0" w:line="240" w:lineRule="auto"/>
              <w:jc w:val="right"/>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15,6</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00279" w14:textId="3578C2FB" w:rsidR="00D55DE4" w:rsidRPr="00192F98" w:rsidRDefault="00D55DE4" w:rsidP="000C7C7D">
            <w:pPr>
              <w:spacing w:after="0" w:line="240" w:lineRule="auto"/>
              <w:jc w:val="right"/>
              <w:rPr>
                <w:rFonts w:ascii="Calibri" w:eastAsia="Times New Roman" w:hAnsi="Calibri" w:cs="Times New Roman"/>
                <w:b/>
                <w:bCs/>
                <w:color w:val="000000"/>
                <w:lang w:eastAsia="cs-CZ"/>
              </w:rPr>
            </w:pPr>
            <w:r w:rsidRPr="00192F98">
              <w:rPr>
                <w:b/>
                <w:bCs/>
              </w:rPr>
              <w:t xml:space="preserve"> </w:t>
            </w:r>
            <w:r>
              <w:rPr>
                <w:b/>
                <w:bCs/>
              </w:rPr>
              <w:t>16 028</w:t>
            </w:r>
            <w:r w:rsidRPr="00192F98">
              <w:rPr>
                <w:b/>
                <w:bCs/>
              </w:rPr>
              <w:t xml:space="preserve"> </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D5A1EC7" w14:textId="2970E7BE" w:rsidR="00D55DE4" w:rsidRPr="007C1F2C" w:rsidRDefault="00D55DE4" w:rsidP="000C7C7D">
            <w:pPr>
              <w:spacing w:after="0" w:line="240" w:lineRule="auto"/>
              <w:jc w:val="right"/>
              <w:rPr>
                <w:rFonts w:ascii="Calibri" w:eastAsia="Times New Roman" w:hAnsi="Calibri" w:cs="Times New Roman"/>
                <w:b/>
                <w:bCs/>
                <w:color w:val="000000"/>
                <w:lang w:eastAsia="cs-CZ"/>
              </w:rPr>
            </w:pPr>
            <w:r w:rsidRPr="007C1F2C">
              <w:rPr>
                <w:rFonts w:ascii="Calibri" w:eastAsia="Times New Roman" w:hAnsi="Calibri" w:cs="Times New Roman"/>
                <w:b/>
                <w:bCs/>
                <w:color w:val="000000"/>
                <w:lang w:eastAsia="cs-CZ"/>
              </w:rPr>
              <w:t>65 %</w:t>
            </w:r>
          </w:p>
        </w:tc>
      </w:tr>
    </w:tbl>
    <w:p w14:paraId="30985293" w14:textId="77777777" w:rsidR="002342AB" w:rsidRDefault="00AB2F57" w:rsidP="002342AB">
      <w:pPr>
        <w:spacing w:before="240" w:after="120"/>
        <w:jc w:val="both"/>
        <w:rPr>
          <w:szCs w:val="24"/>
        </w:rPr>
      </w:pPr>
      <w:r w:rsidRPr="001B72A4">
        <w:rPr>
          <w:szCs w:val="24"/>
        </w:rPr>
        <w:t>Na ře</w:t>
      </w:r>
      <w:r w:rsidRPr="009B52EF">
        <w:rPr>
          <w:szCs w:val="24"/>
        </w:rPr>
        <w:t>šení projektů se v</w:t>
      </w:r>
      <w:r>
        <w:rPr>
          <w:szCs w:val="24"/>
        </w:rPr>
        <w:t> </w:t>
      </w:r>
      <w:r w:rsidRPr="009B52EF">
        <w:rPr>
          <w:szCs w:val="24"/>
        </w:rPr>
        <w:t>roli příjemců či dalších účastníků projektu podílí celkem</w:t>
      </w:r>
      <w:r w:rsidRPr="00AB2F57">
        <w:rPr>
          <w:szCs w:val="24"/>
        </w:rPr>
        <w:t xml:space="preserve"> 734 různých organizací, z nichž nejvíc (336) spadá do kategorie MP. </w:t>
      </w:r>
      <w:r w:rsidR="00FE4CE5">
        <w:rPr>
          <w:szCs w:val="24"/>
        </w:rPr>
        <w:t>Celkový počet podpořených podniků v Programu je 648. Zbylých 86 účastníků v Programu vystupuje v roli výzkumné organizace, a to v obdobném zastoupení veřejných vysokých škol</w:t>
      </w:r>
      <w:r w:rsidR="002A2CC3">
        <w:rPr>
          <w:szCs w:val="24"/>
        </w:rPr>
        <w:t xml:space="preserve"> (VŠ)</w:t>
      </w:r>
      <w:r w:rsidR="00FE4CE5">
        <w:rPr>
          <w:szCs w:val="24"/>
        </w:rPr>
        <w:t>, ústavů Akademie věd ČR</w:t>
      </w:r>
      <w:r w:rsidR="002A2CC3">
        <w:rPr>
          <w:szCs w:val="24"/>
        </w:rPr>
        <w:t xml:space="preserve"> (AV ČR)</w:t>
      </w:r>
      <w:r w:rsidR="00FE4CE5">
        <w:rPr>
          <w:szCs w:val="24"/>
        </w:rPr>
        <w:t xml:space="preserve">, výzkumných organizací zřízených podle soukromého práva </w:t>
      </w:r>
      <w:r w:rsidR="002A2CC3">
        <w:rPr>
          <w:szCs w:val="24"/>
        </w:rPr>
        <w:t xml:space="preserve">(VO soukr.) </w:t>
      </w:r>
      <w:r w:rsidR="00FE4CE5">
        <w:rPr>
          <w:szCs w:val="24"/>
        </w:rPr>
        <w:t>a ostatních typů organizací.</w:t>
      </w:r>
      <w:r w:rsidR="002342AB">
        <w:rPr>
          <w:szCs w:val="24"/>
        </w:rPr>
        <w:t xml:space="preserve"> </w:t>
      </w:r>
    </w:p>
    <w:p w14:paraId="0526BDC5" w14:textId="7AD3F62F" w:rsidR="00AB2F57" w:rsidRDefault="00FE4CE5" w:rsidP="002342AB">
      <w:pPr>
        <w:spacing w:before="240" w:after="120"/>
        <w:jc w:val="both"/>
        <w:rPr>
          <w:szCs w:val="24"/>
        </w:rPr>
      </w:pPr>
      <w:r>
        <w:rPr>
          <w:szCs w:val="24"/>
        </w:rPr>
        <w:t xml:space="preserve">Z hlediska celkového </w:t>
      </w:r>
      <w:r w:rsidR="00AB2F57" w:rsidRPr="00AB2F57">
        <w:rPr>
          <w:szCs w:val="24"/>
        </w:rPr>
        <w:t>objem</w:t>
      </w:r>
      <w:r>
        <w:rPr>
          <w:szCs w:val="24"/>
        </w:rPr>
        <w:t>u</w:t>
      </w:r>
      <w:r w:rsidR="00AB2F57" w:rsidRPr="00AB2F57">
        <w:rPr>
          <w:szCs w:val="24"/>
        </w:rPr>
        <w:t xml:space="preserve"> podpory připadá n</w:t>
      </w:r>
      <w:r w:rsidR="00AB2F57" w:rsidRPr="009B52EF">
        <w:rPr>
          <w:szCs w:val="24"/>
        </w:rPr>
        <w:t>a</w:t>
      </w:r>
      <w:r>
        <w:rPr>
          <w:szCs w:val="24"/>
        </w:rPr>
        <w:t xml:space="preserve"> podniky cca 60 % a na </w:t>
      </w:r>
      <w:r w:rsidR="00AB2F57">
        <w:rPr>
          <w:szCs w:val="24"/>
        </w:rPr>
        <w:t>výzkumné organizace</w:t>
      </w:r>
      <w:r>
        <w:rPr>
          <w:szCs w:val="24"/>
        </w:rPr>
        <w:t xml:space="preserve"> cca 40 %, přičemž zdaleka nejvíce, přes 3 mld. Kč, čerpají vysoké školy</w:t>
      </w:r>
      <w:r w:rsidR="00AB2F57">
        <w:rPr>
          <w:szCs w:val="24"/>
        </w:rPr>
        <w:t>.</w:t>
      </w:r>
    </w:p>
    <w:p w14:paraId="47FA80F5" w14:textId="072B704C" w:rsidR="008632FA" w:rsidRPr="008632FA" w:rsidRDefault="008632FA" w:rsidP="00A7392F">
      <w:pPr>
        <w:pStyle w:val="Titulek"/>
      </w:pPr>
      <w:bookmarkStart w:id="26" w:name="_Toc150180764"/>
      <w:bookmarkStart w:id="27" w:name="_Toc185334575"/>
      <w:r w:rsidRPr="00B10CE5">
        <w:t xml:space="preserve">Tabulka </w:t>
      </w:r>
      <w:r w:rsidR="00353407">
        <w:fldChar w:fldCharType="begin"/>
      </w:r>
      <w:r w:rsidR="00353407">
        <w:instrText xml:space="preserve"> SEQ Tabulka \* ARABIC </w:instrText>
      </w:r>
      <w:r w:rsidR="00353407">
        <w:fldChar w:fldCharType="separate"/>
      </w:r>
      <w:r w:rsidR="00353407">
        <w:rPr>
          <w:noProof/>
        </w:rPr>
        <w:t>8</w:t>
      </w:r>
      <w:r w:rsidR="00353407">
        <w:rPr>
          <w:noProof/>
        </w:rPr>
        <w:fldChar w:fldCharType="end"/>
      </w:r>
      <w:r w:rsidRPr="00B10CE5">
        <w:t>: Struktura účastníků projektů (počet zúčastněných subjektů podle typu organizace)</w:t>
      </w:r>
      <w:bookmarkEnd w:id="26"/>
      <w:bookmarkEnd w:id="27"/>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76"/>
        <w:gridCol w:w="1264"/>
        <w:gridCol w:w="1265"/>
        <w:gridCol w:w="1265"/>
        <w:gridCol w:w="1265"/>
        <w:gridCol w:w="1265"/>
      </w:tblGrid>
      <w:tr w:rsidR="008632FA" w:rsidRPr="008632FA" w14:paraId="6B2DB898" w14:textId="77777777" w:rsidTr="000C7C7D">
        <w:trPr>
          <w:trHeight w:val="862"/>
        </w:trPr>
        <w:tc>
          <w:tcPr>
            <w:tcW w:w="2176" w:type="dxa"/>
            <w:shd w:val="clear" w:color="auto" w:fill="B9E0F7" w:themeFill="accent5"/>
            <w:vAlign w:val="center"/>
            <w:hideMark/>
          </w:tcPr>
          <w:p w14:paraId="57D5EE28" w14:textId="77777777" w:rsidR="008632FA" w:rsidRPr="008632FA" w:rsidRDefault="008632FA" w:rsidP="008632FA">
            <w:pPr>
              <w:spacing w:after="0"/>
              <w:jc w:val="center"/>
              <w:rPr>
                <w:rFonts w:ascii="Calibri" w:eastAsia="Times New Roman" w:hAnsi="Calibri" w:cs="Times New Roman"/>
                <w:color w:val="000000"/>
                <w:lang w:eastAsia="cs-CZ"/>
              </w:rPr>
            </w:pPr>
            <w:r w:rsidRPr="008632FA">
              <w:rPr>
                <w:rFonts w:ascii="Calibri" w:eastAsia="Times New Roman" w:hAnsi="Calibri" w:cs="Times New Roman"/>
                <w:color w:val="000000"/>
                <w:lang w:eastAsia="cs-CZ"/>
              </w:rPr>
              <w:t>Typ organizace</w:t>
            </w:r>
          </w:p>
        </w:tc>
        <w:tc>
          <w:tcPr>
            <w:tcW w:w="1264" w:type="dxa"/>
            <w:shd w:val="clear" w:color="auto" w:fill="B9E0F7" w:themeFill="accent5"/>
            <w:vAlign w:val="center"/>
            <w:hideMark/>
          </w:tcPr>
          <w:p w14:paraId="451E490D" w14:textId="77777777" w:rsidR="008632FA" w:rsidRPr="008632FA" w:rsidRDefault="008632FA" w:rsidP="008632FA">
            <w:pPr>
              <w:spacing w:after="0" w:line="240" w:lineRule="auto"/>
              <w:jc w:val="center"/>
              <w:rPr>
                <w:rFonts w:ascii="Calibri" w:eastAsia="Times New Roman" w:hAnsi="Calibri" w:cs="Times New Roman"/>
                <w:color w:val="000000"/>
                <w:lang w:eastAsia="cs-CZ"/>
              </w:rPr>
            </w:pPr>
            <w:r w:rsidRPr="008632FA">
              <w:rPr>
                <w:rFonts w:ascii="Calibri" w:eastAsia="Times New Roman" w:hAnsi="Calibri" w:cs="Times New Roman"/>
                <w:color w:val="000000"/>
                <w:lang w:eastAsia="cs-CZ"/>
              </w:rPr>
              <w:t>Počet subjektů</w:t>
            </w:r>
          </w:p>
        </w:tc>
        <w:tc>
          <w:tcPr>
            <w:tcW w:w="1265" w:type="dxa"/>
            <w:shd w:val="clear" w:color="auto" w:fill="B9E0F7" w:themeFill="accent5"/>
            <w:vAlign w:val="center"/>
            <w:hideMark/>
          </w:tcPr>
          <w:p w14:paraId="35E54D5E" w14:textId="77777777" w:rsidR="008632FA" w:rsidRPr="008632FA" w:rsidRDefault="008632FA" w:rsidP="008632FA">
            <w:pPr>
              <w:spacing w:after="0" w:line="240" w:lineRule="auto"/>
              <w:jc w:val="center"/>
              <w:rPr>
                <w:rFonts w:ascii="Calibri" w:eastAsia="Times New Roman" w:hAnsi="Calibri" w:cs="Times New Roman"/>
                <w:color w:val="000000"/>
                <w:lang w:eastAsia="cs-CZ"/>
              </w:rPr>
            </w:pPr>
            <w:r w:rsidRPr="008632FA">
              <w:rPr>
                <w:rFonts w:ascii="Calibri" w:eastAsia="Times New Roman" w:hAnsi="Calibri" w:cs="Times New Roman"/>
                <w:color w:val="000000"/>
                <w:lang w:eastAsia="cs-CZ"/>
              </w:rPr>
              <w:t>Výše dotace (mil. Kč)</w:t>
            </w:r>
          </w:p>
        </w:tc>
        <w:tc>
          <w:tcPr>
            <w:tcW w:w="1265" w:type="dxa"/>
            <w:shd w:val="clear" w:color="auto" w:fill="B9E0F7" w:themeFill="accent5"/>
            <w:vAlign w:val="center"/>
            <w:hideMark/>
          </w:tcPr>
          <w:p w14:paraId="667ACE5E" w14:textId="23C4A228" w:rsidR="00936DEE" w:rsidRDefault="00D646CD" w:rsidP="008632FA">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Vlastní</w:t>
            </w:r>
            <w:r w:rsidRPr="008632FA">
              <w:rPr>
                <w:rFonts w:ascii="Calibri" w:eastAsia="Times New Roman" w:hAnsi="Calibri" w:cs="Times New Roman"/>
                <w:color w:val="000000"/>
                <w:lang w:eastAsia="cs-CZ"/>
              </w:rPr>
              <w:t xml:space="preserve"> </w:t>
            </w:r>
            <w:r w:rsidR="008632FA" w:rsidRPr="008632FA">
              <w:rPr>
                <w:rFonts w:ascii="Calibri" w:eastAsia="Times New Roman" w:hAnsi="Calibri" w:cs="Times New Roman"/>
                <w:color w:val="000000"/>
                <w:lang w:eastAsia="cs-CZ"/>
              </w:rPr>
              <w:t xml:space="preserve">zdroje </w:t>
            </w:r>
          </w:p>
          <w:p w14:paraId="38D5DA3A" w14:textId="104BD307" w:rsidR="008632FA" w:rsidRPr="008632FA" w:rsidRDefault="008632FA" w:rsidP="008632FA">
            <w:pPr>
              <w:spacing w:after="0" w:line="240" w:lineRule="auto"/>
              <w:jc w:val="center"/>
              <w:rPr>
                <w:rFonts w:ascii="Calibri" w:eastAsia="Times New Roman" w:hAnsi="Calibri" w:cs="Times New Roman"/>
                <w:color w:val="000000"/>
                <w:lang w:eastAsia="cs-CZ"/>
              </w:rPr>
            </w:pPr>
            <w:r w:rsidRPr="008632FA">
              <w:rPr>
                <w:rFonts w:ascii="Calibri" w:eastAsia="Times New Roman" w:hAnsi="Calibri" w:cs="Times New Roman"/>
                <w:color w:val="000000"/>
                <w:lang w:eastAsia="cs-CZ"/>
              </w:rPr>
              <w:t>(mil. Kč)</w:t>
            </w:r>
          </w:p>
        </w:tc>
        <w:tc>
          <w:tcPr>
            <w:tcW w:w="1265" w:type="dxa"/>
            <w:shd w:val="clear" w:color="auto" w:fill="B9E0F7" w:themeFill="accent5"/>
            <w:vAlign w:val="center"/>
            <w:hideMark/>
          </w:tcPr>
          <w:p w14:paraId="7F21BD0E" w14:textId="2F1DC27F" w:rsidR="008632FA" w:rsidRPr="008632FA" w:rsidRDefault="00936DEE" w:rsidP="00936DEE">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Celkové n</w:t>
            </w:r>
            <w:r w:rsidR="008632FA" w:rsidRPr="008632FA">
              <w:rPr>
                <w:rFonts w:ascii="Calibri" w:eastAsia="Times New Roman" w:hAnsi="Calibri" w:cs="Times New Roman"/>
                <w:color w:val="000000"/>
                <w:lang w:eastAsia="cs-CZ"/>
              </w:rPr>
              <w:t>áklady (mil. Kč)</w:t>
            </w:r>
          </w:p>
        </w:tc>
        <w:tc>
          <w:tcPr>
            <w:tcW w:w="1265" w:type="dxa"/>
            <w:shd w:val="clear" w:color="auto" w:fill="B9E0F7" w:themeFill="accent5"/>
            <w:vAlign w:val="center"/>
            <w:hideMark/>
          </w:tcPr>
          <w:p w14:paraId="4C5EC80F" w14:textId="77777777" w:rsidR="008632FA" w:rsidRPr="008632FA" w:rsidRDefault="008632FA" w:rsidP="008632FA">
            <w:pPr>
              <w:spacing w:after="0" w:line="240" w:lineRule="auto"/>
              <w:jc w:val="center"/>
              <w:rPr>
                <w:rFonts w:ascii="Calibri" w:eastAsia="Times New Roman" w:hAnsi="Calibri" w:cs="Times New Roman"/>
                <w:color w:val="000000"/>
                <w:lang w:eastAsia="cs-CZ"/>
              </w:rPr>
            </w:pPr>
            <w:r w:rsidRPr="008632FA">
              <w:rPr>
                <w:rFonts w:ascii="Calibri" w:eastAsia="Times New Roman" w:hAnsi="Calibri" w:cs="Times New Roman"/>
                <w:color w:val="000000"/>
                <w:lang w:eastAsia="cs-CZ"/>
              </w:rPr>
              <w:t>Intenzita podpory</w:t>
            </w:r>
          </w:p>
        </w:tc>
      </w:tr>
      <w:tr w:rsidR="00D646CD" w:rsidRPr="008632FA" w14:paraId="44E81381" w14:textId="77777777" w:rsidTr="000C7C7D">
        <w:trPr>
          <w:trHeight w:val="340"/>
        </w:trPr>
        <w:tc>
          <w:tcPr>
            <w:tcW w:w="2176" w:type="dxa"/>
            <w:shd w:val="clear" w:color="auto" w:fill="auto"/>
            <w:noWrap/>
            <w:vAlign w:val="center"/>
            <w:hideMark/>
          </w:tcPr>
          <w:p w14:paraId="540F948E" w14:textId="1C49F8F4" w:rsidR="00D646CD" w:rsidRPr="008632FA" w:rsidRDefault="00D646CD" w:rsidP="000C7C7D">
            <w:pPr>
              <w:spacing w:after="0" w:line="240" w:lineRule="auto"/>
              <w:rPr>
                <w:rFonts w:ascii="Calibri" w:eastAsia="Times New Roman" w:hAnsi="Calibri" w:cs="Times New Roman"/>
                <w:color w:val="000000"/>
                <w:lang w:eastAsia="cs-CZ"/>
              </w:rPr>
            </w:pPr>
            <w:r w:rsidRPr="00697836">
              <w:t>MP</w:t>
            </w:r>
          </w:p>
        </w:tc>
        <w:tc>
          <w:tcPr>
            <w:tcW w:w="1264" w:type="dxa"/>
            <w:shd w:val="clear" w:color="auto" w:fill="auto"/>
            <w:noWrap/>
            <w:vAlign w:val="center"/>
          </w:tcPr>
          <w:p w14:paraId="74C2F6CE" w14:textId="5CE06A47"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336</w:t>
            </w:r>
          </w:p>
        </w:tc>
        <w:tc>
          <w:tcPr>
            <w:tcW w:w="1265" w:type="dxa"/>
            <w:shd w:val="clear" w:color="auto" w:fill="auto"/>
            <w:noWrap/>
            <w:vAlign w:val="center"/>
          </w:tcPr>
          <w:p w14:paraId="76833A43" w14:textId="52B13E15"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2 8</w:t>
            </w:r>
            <w:r w:rsidR="009C6671">
              <w:t>76</w:t>
            </w:r>
          </w:p>
        </w:tc>
        <w:tc>
          <w:tcPr>
            <w:tcW w:w="1265" w:type="dxa"/>
            <w:shd w:val="clear" w:color="auto" w:fill="auto"/>
            <w:noWrap/>
            <w:vAlign w:val="center"/>
          </w:tcPr>
          <w:p w14:paraId="235F1F3E" w14:textId="78B188A6"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1 73</w:t>
            </w:r>
            <w:r w:rsidR="009C6671">
              <w:t>5</w:t>
            </w:r>
          </w:p>
        </w:tc>
        <w:tc>
          <w:tcPr>
            <w:tcW w:w="1265" w:type="dxa"/>
            <w:shd w:val="clear" w:color="auto" w:fill="auto"/>
            <w:noWrap/>
            <w:vAlign w:val="center"/>
          </w:tcPr>
          <w:p w14:paraId="133E4D97" w14:textId="6843A658"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4 6</w:t>
            </w:r>
            <w:r w:rsidR="00D82E4E">
              <w:t>11</w:t>
            </w:r>
          </w:p>
        </w:tc>
        <w:tc>
          <w:tcPr>
            <w:tcW w:w="1265" w:type="dxa"/>
            <w:shd w:val="clear" w:color="auto" w:fill="auto"/>
            <w:noWrap/>
            <w:vAlign w:val="center"/>
          </w:tcPr>
          <w:p w14:paraId="583358F2" w14:textId="5F32F99A"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62</w:t>
            </w:r>
            <w:r w:rsidR="00AE663E">
              <w:t xml:space="preserve"> </w:t>
            </w:r>
            <w:r w:rsidRPr="00697836">
              <w:t>%</w:t>
            </w:r>
          </w:p>
        </w:tc>
      </w:tr>
      <w:tr w:rsidR="00D646CD" w:rsidRPr="008632FA" w14:paraId="1D5A418C" w14:textId="77777777" w:rsidTr="000C7C7D">
        <w:trPr>
          <w:trHeight w:val="340"/>
        </w:trPr>
        <w:tc>
          <w:tcPr>
            <w:tcW w:w="2176" w:type="dxa"/>
            <w:shd w:val="clear" w:color="auto" w:fill="auto"/>
            <w:noWrap/>
            <w:vAlign w:val="center"/>
            <w:hideMark/>
          </w:tcPr>
          <w:p w14:paraId="164122AB" w14:textId="2A7C445F" w:rsidR="00D646CD" w:rsidRPr="008632FA" w:rsidRDefault="00D646CD" w:rsidP="000C7C7D">
            <w:pPr>
              <w:spacing w:after="0" w:line="240" w:lineRule="auto"/>
              <w:rPr>
                <w:rFonts w:ascii="Calibri" w:eastAsia="Times New Roman" w:hAnsi="Calibri" w:cs="Times New Roman"/>
                <w:color w:val="000000"/>
                <w:lang w:eastAsia="cs-CZ"/>
              </w:rPr>
            </w:pPr>
            <w:r w:rsidRPr="00697836">
              <w:t>SP</w:t>
            </w:r>
          </w:p>
        </w:tc>
        <w:tc>
          <w:tcPr>
            <w:tcW w:w="1264" w:type="dxa"/>
            <w:shd w:val="clear" w:color="auto" w:fill="auto"/>
            <w:noWrap/>
            <w:vAlign w:val="center"/>
          </w:tcPr>
          <w:p w14:paraId="5BDBB5B0" w14:textId="7C57B5F8"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146</w:t>
            </w:r>
          </w:p>
        </w:tc>
        <w:tc>
          <w:tcPr>
            <w:tcW w:w="1265" w:type="dxa"/>
            <w:shd w:val="clear" w:color="auto" w:fill="auto"/>
            <w:noWrap/>
            <w:vAlign w:val="center"/>
          </w:tcPr>
          <w:p w14:paraId="16D60A4A" w14:textId="14F5F582"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1 6</w:t>
            </w:r>
            <w:r w:rsidR="009C6671">
              <w:t>73</w:t>
            </w:r>
          </w:p>
        </w:tc>
        <w:tc>
          <w:tcPr>
            <w:tcW w:w="1265" w:type="dxa"/>
            <w:shd w:val="clear" w:color="auto" w:fill="auto"/>
            <w:noWrap/>
            <w:vAlign w:val="center"/>
          </w:tcPr>
          <w:p w14:paraId="2C557B32" w14:textId="57114D69"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1 3</w:t>
            </w:r>
            <w:r w:rsidR="009C6671">
              <w:t>10</w:t>
            </w:r>
          </w:p>
        </w:tc>
        <w:tc>
          <w:tcPr>
            <w:tcW w:w="1265" w:type="dxa"/>
            <w:shd w:val="clear" w:color="auto" w:fill="auto"/>
            <w:noWrap/>
            <w:vAlign w:val="center"/>
          </w:tcPr>
          <w:p w14:paraId="6663FD7C" w14:textId="1D084A4C"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2 9</w:t>
            </w:r>
            <w:r w:rsidR="00D82E4E">
              <w:t>83</w:t>
            </w:r>
          </w:p>
        </w:tc>
        <w:tc>
          <w:tcPr>
            <w:tcW w:w="1265" w:type="dxa"/>
            <w:shd w:val="clear" w:color="auto" w:fill="auto"/>
            <w:noWrap/>
            <w:vAlign w:val="center"/>
          </w:tcPr>
          <w:p w14:paraId="25007376" w14:textId="419E83D4"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56</w:t>
            </w:r>
            <w:r w:rsidR="00AE663E">
              <w:t xml:space="preserve"> </w:t>
            </w:r>
            <w:r w:rsidRPr="00697836">
              <w:t>%</w:t>
            </w:r>
          </w:p>
        </w:tc>
      </w:tr>
      <w:tr w:rsidR="00D646CD" w:rsidRPr="008632FA" w14:paraId="0DDEE7CA" w14:textId="77777777" w:rsidTr="000C7C7D">
        <w:trPr>
          <w:trHeight w:val="340"/>
        </w:trPr>
        <w:tc>
          <w:tcPr>
            <w:tcW w:w="2176" w:type="dxa"/>
            <w:shd w:val="clear" w:color="auto" w:fill="auto"/>
            <w:noWrap/>
            <w:vAlign w:val="center"/>
            <w:hideMark/>
          </w:tcPr>
          <w:p w14:paraId="2A915CDF" w14:textId="7059EC2D" w:rsidR="00D646CD" w:rsidRPr="008632FA" w:rsidRDefault="00D646CD" w:rsidP="000C7C7D">
            <w:pPr>
              <w:spacing w:after="0" w:line="240" w:lineRule="auto"/>
              <w:rPr>
                <w:rFonts w:ascii="Calibri" w:eastAsia="Times New Roman" w:hAnsi="Calibri" w:cs="Times New Roman"/>
                <w:color w:val="000000"/>
                <w:lang w:eastAsia="cs-CZ"/>
              </w:rPr>
            </w:pPr>
            <w:r w:rsidRPr="00697836">
              <w:t>VP</w:t>
            </w:r>
          </w:p>
        </w:tc>
        <w:tc>
          <w:tcPr>
            <w:tcW w:w="1264" w:type="dxa"/>
            <w:shd w:val="clear" w:color="auto" w:fill="auto"/>
            <w:noWrap/>
            <w:vAlign w:val="center"/>
          </w:tcPr>
          <w:p w14:paraId="25A495A7" w14:textId="44C66FC3"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166</w:t>
            </w:r>
          </w:p>
        </w:tc>
        <w:tc>
          <w:tcPr>
            <w:tcW w:w="1265" w:type="dxa"/>
            <w:shd w:val="clear" w:color="auto" w:fill="auto"/>
            <w:noWrap/>
            <w:vAlign w:val="center"/>
          </w:tcPr>
          <w:p w14:paraId="360DFBD0" w14:textId="15570ACA"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1 79</w:t>
            </w:r>
            <w:r w:rsidR="009C6671">
              <w:t>5</w:t>
            </w:r>
          </w:p>
        </w:tc>
        <w:tc>
          <w:tcPr>
            <w:tcW w:w="1265" w:type="dxa"/>
            <w:shd w:val="clear" w:color="auto" w:fill="auto"/>
            <w:noWrap/>
            <w:vAlign w:val="center"/>
          </w:tcPr>
          <w:p w14:paraId="518233BA" w14:textId="4B7CA48D"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1 95</w:t>
            </w:r>
            <w:r w:rsidR="009C6671">
              <w:t>0</w:t>
            </w:r>
          </w:p>
        </w:tc>
        <w:tc>
          <w:tcPr>
            <w:tcW w:w="1265" w:type="dxa"/>
            <w:shd w:val="clear" w:color="auto" w:fill="auto"/>
            <w:noWrap/>
            <w:vAlign w:val="center"/>
          </w:tcPr>
          <w:p w14:paraId="0B074642" w14:textId="6E98FF50"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3 7</w:t>
            </w:r>
            <w:r w:rsidR="00D82E4E">
              <w:t>45</w:t>
            </w:r>
          </w:p>
        </w:tc>
        <w:tc>
          <w:tcPr>
            <w:tcW w:w="1265" w:type="dxa"/>
            <w:shd w:val="clear" w:color="auto" w:fill="auto"/>
            <w:noWrap/>
            <w:vAlign w:val="center"/>
          </w:tcPr>
          <w:p w14:paraId="311F03BB" w14:textId="793431A8"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48</w:t>
            </w:r>
            <w:r w:rsidR="00AE663E">
              <w:t xml:space="preserve"> </w:t>
            </w:r>
            <w:r w:rsidRPr="00697836">
              <w:t>%</w:t>
            </w:r>
          </w:p>
        </w:tc>
      </w:tr>
      <w:tr w:rsidR="00D646CD" w:rsidRPr="008632FA" w14:paraId="40226D07" w14:textId="77777777" w:rsidTr="000C7C7D">
        <w:trPr>
          <w:trHeight w:val="340"/>
        </w:trPr>
        <w:tc>
          <w:tcPr>
            <w:tcW w:w="2176" w:type="dxa"/>
            <w:shd w:val="clear" w:color="auto" w:fill="auto"/>
            <w:noWrap/>
            <w:vAlign w:val="center"/>
            <w:hideMark/>
          </w:tcPr>
          <w:p w14:paraId="3B6EF578" w14:textId="310C2A62" w:rsidR="00D646CD" w:rsidRPr="008632FA" w:rsidRDefault="00D646CD" w:rsidP="000C7C7D">
            <w:pPr>
              <w:spacing w:after="0" w:line="240" w:lineRule="auto"/>
              <w:rPr>
                <w:rFonts w:ascii="Calibri" w:eastAsia="Times New Roman" w:hAnsi="Calibri" w:cs="Times New Roman"/>
                <w:color w:val="000000"/>
                <w:lang w:eastAsia="cs-CZ"/>
              </w:rPr>
            </w:pPr>
            <w:r w:rsidRPr="00697836">
              <w:t>VO</w:t>
            </w:r>
          </w:p>
        </w:tc>
        <w:tc>
          <w:tcPr>
            <w:tcW w:w="1264" w:type="dxa"/>
            <w:shd w:val="clear" w:color="auto" w:fill="auto"/>
            <w:noWrap/>
            <w:vAlign w:val="center"/>
          </w:tcPr>
          <w:p w14:paraId="2ACBC234" w14:textId="3AC2BCAE"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86</w:t>
            </w:r>
          </w:p>
        </w:tc>
        <w:tc>
          <w:tcPr>
            <w:tcW w:w="1265" w:type="dxa"/>
            <w:shd w:val="clear" w:color="auto" w:fill="auto"/>
            <w:noWrap/>
            <w:vAlign w:val="center"/>
          </w:tcPr>
          <w:p w14:paraId="65E614E9" w14:textId="533068A8"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4 1</w:t>
            </w:r>
            <w:r w:rsidR="009C6671">
              <w:t>2</w:t>
            </w:r>
            <w:r w:rsidRPr="00697836">
              <w:t>0</w:t>
            </w:r>
          </w:p>
        </w:tc>
        <w:tc>
          <w:tcPr>
            <w:tcW w:w="1265" w:type="dxa"/>
            <w:shd w:val="clear" w:color="auto" w:fill="auto"/>
            <w:noWrap/>
            <w:vAlign w:val="center"/>
          </w:tcPr>
          <w:p w14:paraId="46BD2E8C" w14:textId="6B183922"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571</w:t>
            </w:r>
          </w:p>
        </w:tc>
        <w:tc>
          <w:tcPr>
            <w:tcW w:w="1265" w:type="dxa"/>
            <w:shd w:val="clear" w:color="auto" w:fill="auto"/>
            <w:noWrap/>
            <w:vAlign w:val="center"/>
          </w:tcPr>
          <w:p w14:paraId="62AF8D05" w14:textId="4B9E31A2"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 xml:space="preserve">4 </w:t>
            </w:r>
            <w:r w:rsidR="00D82E4E">
              <w:t>691</w:t>
            </w:r>
          </w:p>
        </w:tc>
        <w:tc>
          <w:tcPr>
            <w:tcW w:w="1265" w:type="dxa"/>
            <w:shd w:val="clear" w:color="auto" w:fill="auto"/>
            <w:noWrap/>
            <w:vAlign w:val="center"/>
          </w:tcPr>
          <w:p w14:paraId="03C1E2B2" w14:textId="6261EB79" w:rsidR="00D646CD" w:rsidRPr="008632FA" w:rsidRDefault="00D646CD" w:rsidP="000C7C7D">
            <w:pPr>
              <w:spacing w:after="0" w:line="240" w:lineRule="auto"/>
              <w:jc w:val="right"/>
              <w:rPr>
                <w:rFonts w:ascii="Calibri" w:eastAsia="Times New Roman" w:hAnsi="Calibri" w:cs="Times New Roman"/>
                <w:color w:val="000000"/>
                <w:lang w:eastAsia="cs-CZ"/>
              </w:rPr>
            </w:pPr>
            <w:r w:rsidRPr="00697836">
              <w:t>88</w:t>
            </w:r>
            <w:r w:rsidR="00AE663E">
              <w:t xml:space="preserve"> </w:t>
            </w:r>
            <w:r w:rsidRPr="00697836">
              <w:t>%</w:t>
            </w:r>
          </w:p>
        </w:tc>
      </w:tr>
      <w:tr w:rsidR="00D646CD" w:rsidRPr="008632FA" w14:paraId="46BE18D1" w14:textId="77777777" w:rsidTr="000C7C7D">
        <w:trPr>
          <w:trHeight w:val="340"/>
        </w:trPr>
        <w:tc>
          <w:tcPr>
            <w:tcW w:w="2176" w:type="dxa"/>
            <w:shd w:val="clear" w:color="auto" w:fill="F2F2F2" w:themeFill="background1" w:themeFillShade="F2"/>
            <w:noWrap/>
            <w:vAlign w:val="center"/>
            <w:hideMark/>
          </w:tcPr>
          <w:p w14:paraId="03BD7F63" w14:textId="1238ABEC" w:rsidR="00D646CD" w:rsidRPr="00D646CD" w:rsidRDefault="00D646CD" w:rsidP="000C7C7D">
            <w:pPr>
              <w:spacing w:after="0" w:line="240" w:lineRule="auto"/>
              <w:rPr>
                <w:rFonts w:ascii="Calibri" w:eastAsia="Times New Roman" w:hAnsi="Calibri" w:cs="Times New Roman"/>
                <w:i/>
                <w:iCs/>
                <w:color w:val="000000"/>
                <w:lang w:eastAsia="cs-CZ"/>
              </w:rPr>
            </w:pPr>
            <w:r w:rsidRPr="00D646CD">
              <w:rPr>
                <w:i/>
                <w:iCs/>
              </w:rPr>
              <w:t>z toho: AV ČR</w:t>
            </w:r>
          </w:p>
        </w:tc>
        <w:tc>
          <w:tcPr>
            <w:tcW w:w="1264" w:type="dxa"/>
            <w:shd w:val="clear" w:color="auto" w:fill="F2F2F2" w:themeFill="background1" w:themeFillShade="F2"/>
            <w:noWrap/>
            <w:vAlign w:val="center"/>
          </w:tcPr>
          <w:p w14:paraId="17CCA447" w14:textId="232841BF"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20</w:t>
            </w:r>
          </w:p>
        </w:tc>
        <w:tc>
          <w:tcPr>
            <w:tcW w:w="1265" w:type="dxa"/>
            <w:shd w:val="clear" w:color="auto" w:fill="F2F2F2" w:themeFill="background1" w:themeFillShade="F2"/>
            <w:noWrap/>
            <w:vAlign w:val="center"/>
          </w:tcPr>
          <w:p w14:paraId="20C6EAD2" w14:textId="5A6EFB07"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362</w:t>
            </w:r>
          </w:p>
        </w:tc>
        <w:tc>
          <w:tcPr>
            <w:tcW w:w="1265" w:type="dxa"/>
            <w:shd w:val="clear" w:color="auto" w:fill="F2F2F2" w:themeFill="background1" w:themeFillShade="F2"/>
            <w:noWrap/>
            <w:vAlign w:val="center"/>
          </w:tcPr>
          <w:p w14:paraId="0A2B4885" w14:textId="6EA10FAF"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52</w:t>
            </w:r>
          </w:p>
        </w:tc>
        <w:tc>
          <w:tcPr>
            <w:tcW w:w="1265" w:type="dxa"/>
            <w:shd w:val="clear" w:color="auto" w:fill="F2F2F2" w:themeFill="background1" w:themeFillShade="F2"/>
            <w:noWrap/>
            <w:vAlign w:val="center"/>
          </w:tcPr>
          <w:p w14:paraId="3989BBB5" w14:textId="33E3AC1A"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414</w:t>
            </w:r>
          </w:p>
        </w:tc>
        <w:tc>
          <w:tcPr>
            <w:tcW w:w="1265" w:type="dxa"/>
            <w:shd w:val="clear" w:color="auto" w:fill="F2F2F2" w:themeFill="background1" w:themeFillShade="F2"/>
            <w:noWrap/>
            <w:vAlign w:val="center"/>
          </w:tcPr>
          <w:p w14:paraId="73F2DABA" w14:textId="61935B18"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87</w:t>
            </w:r>
            <w:r w:rsidR="00AE663E">
              <w:rPr>
                <w:i/>
                <w:iCs/>
              </w:rPr>
              <w:t xml:space="preserve"> </w:t>
            </w:r>
            <w:r w:rsidRPr="00D646CD">
              <w:rPr>
                <w:i/>
                <w:iCs/>
              </w:rPr>
              <w:t>%</w:t>
            </w:r>
          </w:p>
        </w:tc>
      </w:tr>
      <w:tr w:rsidR="00D646CD" w:rsidRPr="008632FA" w14:paraId="72DCDB71" w14:textId="77777777" w:rsidTr="000C7C7D">
        <w:trPr>
          <w:trHeight w:val="340"/>
        </w:trPr>
        <w:tc>
          <w:tcPr>
            <w:tcW w:w="2176" w:type="dxa"/>
            <w:shd w:val="clear" w:color="auto" w:fill="F2F2F2" w:themeFill="background1" w:themeFillShade="F2"/>
            <w:noWrap/>
            <w:vAlign w:val="center"/>
            <w:hideMark/>
          </w:tcPr>
          <w:p w14:paraId="05CADE86" w14:textId="7CE92E0E" w:rsidR="00D646CD" w:rsidRPr="00D646CD" w:rsidRDefault="00D646CD" w:rsidP="000C7C7D">
            <w:pPr>
              <w:spacing w:after="0" w:line="240" w:lineRule="auto"/>
              <w:rPr>
                <w:rFonts w:ascii="Calibri" w:eastAsia="Times New Roman" w:hAnsi="Calibri" w:cs="Times New Roman"/>
                <w:i/>
                <w:iCs/>
                <w:color w:val="000000"/>
                <w:lang w:eastAsia="cs-CZ"/>
              </w:rPr>
            </w:pPr>
            <w:r w:rsidRPr="00D646CD">
              <w:rPr>
                <w:i/>
                <w:iCs/>
              </w:rPr>
              <w:t xml:space="preserve">              VŠ</w:t>
            </w:r>
          </w:p>
        </w:tc>
        <w:tc>
          <w:tcPr>
            <w:tcW w:w="1264" w:type="dxa"/>
            <w:shd w:val="clear" w:color="auto" w:fill="F2F2F2" w:themeFill="background1" w:themeFillShade="F2"/>
            <w:noWrap/>
            <w:vAlign w:val="center"/>
          </w:tcPr>
          <w:p w14:paraId="52C770ED" w14:textId="11F061D1"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19</w:t>
            </w:r>
          </w:p>
        </w:tc>
        <w:tc>
          <w:tcPr>
            <w:tcW w:w="1265" w:type="dxa"/>
            <w:shd w:val="clear" w:color="auto" w:fill="F2F2F2" w:themeFill="background1" w:themeFillShade="F2"/>
            <w:noWrap/>
            <w:vAlign w:val="center"/>
          </w:tcPr>
          <w:p w14:paraId="4844216B" w14:textId="41BD7D6B"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3 0</w:t>
            </w:r>
            <w:r w:rsidR="009C6671">
              <w:rPr>
                <w:i/>
                <w:iCs/>
              </w:rPr>
              <w:t>5</w:t>
            </w:r>
            <w:r w:rsidRPr="00D646CD">
              <w:rPr>
                <w:i/>
                <w:iCs/>
              </w:rPr>
              <w:t>2</w:t>
            </w:r>
          </w:p>
        </w:tc>
        <w:tc>
          <w:tcPr>
            <w:tcW w:w="1265" w:type="dxa"/>
            <w:shd w:val="clear" w:color="auto" w:fill="F2F2F2" w:themeFill="background1" w:themeFillShade="F2"/>
            <w:noWrap/>
            <w:vAlign w:val="center"/>
          </w:tcPr>
          <w:p w14:paraId="78C2E03B" w14:textId="730B2EBA"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400</w:t>
            </w:r>
          </w:p>
        </w:tc>
        <w:tc>
          <w:tcPr>
            <w:tcW w:w="1265" w:type="dxa"/>
            <w:shd w:val="clear" w:color="auto" w:fill="F2F2F2" w:themeFill="background1" w:themeFillShade="F2"/>
            <w:noWrap/>
            <w:vAlign w:val="center"/>
          </w:tcPr>
          <w:p w14:paraId="672139E2" w14:textId="0F0C9B3F"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3 462</w:t>
            </w:r>
          </w:p>
        </w:tc>
        <w:tc>
          <w:tcPr>
            <w:tcW w:w="1265" w:type="dxa"/>
            <w:shd w:val="clear" w:color="auto" w:fill="F2F2F2" w:themeFill="background1" w:themeFillShade="F2"/>
            <w:noWrap/>
            <w:vAlign w:val="center"/>
          </w:tcPr>
          <w:p w14:paraId="00B67616" w14:textId="6D1A9543"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88</w:t>
            </w:r>
            <w:r w:rsidR="00AE663E">
              <w:rPr>
                <w:i/>
                <w:iCs/>
              </w:rPr>
              <w:t xml:space="preserve"> </w:t>
            </w:r>
            <w:r w:rsidRPr="00D646CD">
              <w:rPr>
                <w:i/>
                <w:iCs/>
              </w:rPr>
              <w:t>%</w:t>
            </w:r>
          </w:p>
        </w:tc>
      </w:tr>
      <w:tr w:rsidR="00D646CD" w:rsidRPr="008632FA" w14:paraId="3BF01B2E" w14:textId="77777777" w:rsidTr="000C7C7D">
        <w:trPr>
          <w:trHeight w:val="340"/>
        </w:trPr>
        <w:tc>
          <w:tcPr>
            <w:tcW w:w="2176" w:type="dxa"/>
            <w:shd w:val="clear" w:color="auto" w:fill="F2F2F2" w:themeFill="background1" w:themeFillShade="F2"/>
            <w:noWrap/>
            <w:vAlign w:val="center"/>
            <w:hideMark/>
          </w:tcPr>
          <w:p w14:paraId="1DDB79C3" w14:textId="2163B76C" w:rsidR="00D646CD" w:rsidRPr="00D646CD" w:rsidRDefault="00D646CD" w:rsidP="000C7C7D">
            <w:pPr>
              <w:spacing w:after="0" w:line="240" w:lineRule="auto"/>
              <w:rPr>
                <w:rFonts w:ascii="Calibri" w:eastAsia="Times New Roman" w:hAnsi="Calibri" w:cs="Times New Roman"/>
                <w:i/>
                <w:iCs/>
                <w:color w:val="000000"/>
                <w:lang w:eastAsia="cs-CZ"/>
              </w:rPr>
            </w:pPr>
            <w:r w:rsidRPr="00D646CD">
              <w:rPr>
                <w:i/>
                <w:iCs/>
              </w:rPr>
              <w:t xml:space="preserve">              VO soukr.</w:t>
            </w:r>
          </w:p>
        </w:tc>
        <w:tc>
          <w:tcPr>
            <w:tcW w:w="1264" w:type="dxa"/>
            <w:shd w:val="clear" w:color="auto" w:fill="F2F2F2" w:themeFill="background1" w:themeFillShade="F2"/>
            <w:noWrap/>
            <w:vAlign w:val="center"/>
          </w:tcPr>
          <w:p w14:paraId="07DAE8AA" w14:textId="09806908"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21</w:t>
            </w:r>
          </w:p>
        </w:tc>
        <w:tc>
          <w:tcPr>
            <w:tcW w:w="1265" w:type="dxa"/>
            <w:shd w:val="clear" w:color="auto" w:fill="F2F2F2" w:themeFill="background1" w:themeFillShade="F2"/>
            <w:noWrap/>
            <w:vAlign w:val="center"/>
          </w:tcPr>
          <w:p w14:paraId="741C656C" w14:textId="1E49FAE6"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432</w:t>
            </w:r>
          </w:p>
        </w:tc>
        <w:tc>
          <w:tcPr>
            <w:tcW w:w="1265" w:type="dxa"/>
            <w:shd w:val="clear" w:color="auto" w:fill="F2F2F2" w:themeFill="background1" w:themeFillShade="F2"/>
            <w:noWrap/>
            <w:vAlign w:val="center"/>
          </w:tcPr>
          <w:p w14:paraId="006BCBC3" w14:textId="172B1CBA"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69</w:t>
            </w:r>
          </w:p>
        </w:tc>
        <w:tc>
          <w:tcPr>
            <w:tcW w:w="1265" w:type="dxa"/>
            <w:shd w:val="clear" w:color="auto" w:fill="F2F2F2" w:themeFill="background1" w:themeFillShade="F2"/>
            <w:noWrap/>
            <w:vAlign w:val="center"/>
          </w:tcPr>
          <w:p w14:paraId="42749E21" w14:textId="6BF9D6DF"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500</w:t>
            </w:r>
          </w:p>
        </w:tc>
        <w:tc>
          <w:tcPr>
            <w:tcW w:w="1265" w:type="dxa"/>
            <w:shd w:val="clear" w:color="auto" w:fill="F2F2F2" w:themeFill="background1" w:themeFillShade="F2"/>
            <w:noWrap/>
            <w:vAlign w:val="center"/>
          </w:tcPr>
          <w:p w14:paraId="0EE32ADD" w14:textId="2FDD1A9C"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86</w:t>
            </w:r>
            <w:r w:rsidR="00AE663E">
              <w:rPr>
                <w:i/>
                <w:iCs/>
              </w:rPr>
              <w:t xml:space="preserve"> </w:t>
            </w:r>
            <w:r w:rsidRPr="00D646CD">
              <w:rPr>
                <w:i/>
                <w:iCs/>
              </w:rPr>
              <w:t>%</w:t>
            </w:r>
          </w:p>
        </w:tc>
      </w:tr>
      <w:tr w:rsidR="00D646CD" w:rsidRPr="008632FA" w14:paraId="7E4AD8C9" w14:textId="77777777" w:rsidTr="000C7C7D">
        <w:trPr>
          <w:trHeight w:val="340"/>
        </w:trPr>
        <w:tc>
          <w:tcPr>
            <w:tcW w:w="2176" w:type="dxa"/>
            <w:shd w:val="clear" w:color="auto" w:fill="F2F2F2" w:themeFill="background1" w:themeFillShade="F2"/>
            <w:noWrap/>
            <w:vAlign w:val="center"/>
            <w:hideMark/>
          </w:tcPr>
          <w:p w14:paraId="054F84B6" w14:textId="2EFEF751" w:rsidR="00D646CD" w:rsidRPr="00D646CD" w:rsidRDefault="00D646CD" w:rsidP="000C7C7D">
            <w:pPr>
              <w:spacing w:after="0" w:line="240" w:lineRule="auto"/>
              <w:rPr>
                <w:rFonts w:ascii="Calibri" w:eastAsia="Times New Roman" w:hAnsi="Calibri" w:cs="Times New Roman"/>
                <w:i/>
                <w:iCs/>
                <w:color w:val="000000"/>
                <w:lang w:eastAsia="cs-CZ"/>
              </w:rPr>
            </w:pPr>
            <w:r w:rsidRPr="00D646CD">
              <w:rPr>
                <w:i/>
                <w:iCs/>
              </w:rPr>
              <w:t xml:space="preserve">              VO ostatní</w:t>
            </w:r>
          </w:p>
        </w:tc>
        <w:tc>
          <w:tcPr>
            <w:tcW w:w="1264" w:type="dxa"/>
            <w:shd w:val="clear" w:color="auto" w:fill="F2F2F2" w:themeFill="background1" w:themeFillShade="F2"/>
            <w:noWrap/>
            <w:vAlign w:val="center"/>
          </w:tcPr>
          <w:p w14:paraId="56A2FB27" w14:textId="0662A2D7"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26</w:t>
            </w:r>
          </w:p>
        </w:tc>
        <w:tc>
          <w:tcPr>
            <w:tcW w:w="1265" w:type="dxa"/>
            <w:shd w:val="clear" w:color="auto" w:fill="F2F2F2" w:themeFill="background1" w:themeFillShade="F2"/>
            <w:noWrap/>
            <w:vAlign w:val="center"/>
          </w:tcPr>
          <w:p w14:paraId="4589FA7C" w14:textId="110DBF5E"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274</w:t>
            </w:r>
          </w:p>
        </w:tc>
        <w:tc>
          <w:tcPr>
            <w:tcW w:w="1265" w:type="dxa"/>
            <w:shd w:val="clear" w:color="auto" w:fill="F2F2F2" w:themeFill="background1" w:themeFillShade="F2"/>
            <w:noWrap/>
            <w:vAlign w:val="center"/>
          </w:tcPr>
          <w:p w14:paraId="595B2F6D" w14:textId="57732189"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50</w:t>
            </w:r>
          </w:p>
        </w:tc>
        <w:tc>
          <w:tcPr>
            <w:tcW w:w="1265" w:type="dxa"/>
            <w:shd w:val="clear" w:color="auto" w:fill="F2F2F2" w:themeFill="background1" w:themeFillShade="F2"/>
            <w:noWrap/>
            <w:vAlign w:val="center"/>
          </w:tcPr>
          <w:p w14:paraId="1A375446" w14:textId="76DA5AEF"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325</w:t>
            </w:r>
          </w:p>
        </w:tc>
        <w:tc>
          <w:tcPr>
            <w:tcW w:w="1265" w:type="dxa"/>
            <w:shd w:val="clear" w:color="auto" w:fill="F2F2F2" w:themeFill="background1" w:themeFillShade="F2"/>
            <w:noWrap/>
            <w:vAlign w:val="center"/>
          </w:tcPr>
          <w:p w14:paraId="57A8B594" w14:textId="34635E5A" w:rsidR="00D646CD" w:rsidRPr="00D646CD" w:rsidRDefault="00D646CD" w:rsidP="000C7C7D">
            <w:pPr>
              <w:spacing w:after="0" w:line="240" w:lineRule="auto"/>
              <w:jc w:val="right"/>
              <w:rPr>
                <w:rFonts w:ascii="Calibri" w:eastAsia="Times New Roman" w:hAnsi="Calibri" w:cs="Times New Roman"/>
                <w:i/>
                <w:iCs/>
                <w:color w:val="000000"/>
                <w:lang w:eastAsia="cs-CZ"/>
              </w:rPr>
            </w:pPr>
            <w:r w:rsidRPr="00D646CD">
              <w:rPr>
                <w:i/>
                <w:iCs/>
              </w:rPr>
              <w:t>8</w:t>
            </w:r>
            <w:r w:rsidR="00D82E4E">
              <w:rPr>
                <w:i/>
                <w:iCs/>
              </w:rPr>
              <w:t>5</w:t>
            </w:r>
            <w:r w:rsidR="00AE663E">
              <w:rPr>
                <w:i/>
                <w:iCs/>
              </w:rPr>
              <w:t xml:space="preserve"> </w:t>
            </w:r>
            <w:r w:rsidRPr="00D646CD">
              <w:rPr>
                <w:i/>
                <w:iCs/>
              </w:rPr>
              <w:t>%</w:t>
            </w:r>
          </w:p>
        </w:tc>
      </w:tr>
      <w:tr w:rsidR="00D646CD" w:rsidRPr="00D646CD" w14:paraId="571984BA" w14:textId="77777777" w:rsidTr="000C7C7D">
        <w:trPr>
          <w:trHeight w:val="340"/>
        </w:trPr>
        <w:tc>
          <w:tcPr>
            <w:tcW w:w="2176" w:type="dxa"/>
            <w:shd w:val="clear" w:color="auto" w:fill="auto"/>
            <w:noWrap/>
            <w:vAlign w:val="center"/>
            <w:hideMark/>
          </w:tcPr>
          <w:p w14:paraId="186B980C" w14:textId="498D9E24" w:rsidR="00D646CD" w:rsidRPr="00D646CD" w:rsidRDefault="00D646CD" w:rsidP="000C7C7D">
            <w:pPr>
              <w:spacing w:after="0" w:line="240" w:lineRule="auto"/>
              <w:rPr>
                <w:rFonts w:ascii="Calibri" w:eastAsia="Times New Roman" w:hAnsi="Calibri" w:cs="Times New Roman"/>
                <w:b/>
                <w:bCs/>
                <w:color w:val="000000"/>
                <w:lang w:eastAsia="cs-CZ"/>
              </w:rPr>
            </w:pPr>
            <w:r w:rsidRPr="00D646CD">
              <w:rPr>
                <w:b/>
                <w:bCs/>
              </w:rPr>
              <w:t>CELKEM</w:t>
            </w:r>
          </w:p>
        </w:tc>
        <w:tc>
          <w:tcPr>
            <w:tcW w:w="1264" w:type="dxa"/>
            <w:shd w:val="clear" w:color="auto" w:fill="auto"/>
            <w:noWrap/>
            <w:vAlign w:val="center"/>
          </w:tcPr>
          <w:p w14:paraId="72B4D61A" w14:textId="22BBF53A" w:rsidR="00D646CD" w:rsidRPr="00D646CD" w:rsidRDefault="00D646CD" w:rsidP="000C7C7D">
            <w:pPr>
              <w:spacing w:after="0" w:line="240" w:lineRule="auto"/>
              <w:jc w:val="right"/>
              <w:rPr>
                <w:rFonts w:ascii="Calibri" w:eastAsia="Times New Roman" w:hAnsi="Calibri" w:cs="Times New Roman"/>
                <w:b/>
                <w:bCs/>
                <w:color w:val="000000"/>
                <w:lang w:eastAsia="cs-CZ"/>
              </w:rPr>
            </w:pPr>
            <w:r w:rsidRPr="00D646CD">
              <w:rPr>
                <w:b/>
                <w:bCs/>
              </w:rPr>
              <w:t>734</w:t>
            </w:r>
          </w:p>
        </w:tc>
        <w:tc>
          <w:tcPr>
            <w:tcW w:w="1265" w:type="dxa"/>
            <w:shd w:val="clear" w:color="auto" w:fill="auto"/>
            <w:noWrap/>
            <w:vAlign w:val="center"/>
          </w:tcPr>
          <w:p w14:paraId="1E86AA2B" w14:textId="1D81480B" w:rsidR="00D646CD" w:rsidRPr="00D646CD" w:rsidRDefault="00D646CD" w:rsidP="000C7C7D">
            <w:pPr>
              <w:spacing w:after="0" w:line="240" w:lineRule="auto"/>
              <w:jc w:val="right"/>
              <w:rPr>
                <w:rFonts w:ascii="Calibri" w:eastAsia="Times New Roman" w:hAnsi="Calibri" w:cs="Times New Roman"/>
                <w:b/>
                <w:bCs/>
                <w:color w:val="000000"/>
                <w:lang w:eastAsia="cs-CZ"/>
              </w:rPr>
            </w:pPr>
            <w:r w:rsidRPr="00D646CD">
              <w:rPr>
                <w:b/>
                <w:bCs/>
              </w:rPr>
              <w:t xml:space="preserve">10 </w:t>
            </w:r>
            <w:r w:rsidR="00F56602">
              <w:rPr>
                <w:b/>
                <w:bCs/>
              </w:rPr>
              <w:t>464</w:t>
            </w:r>
          </w:p>
        </w:tc>
        <w:tc>
          <w:tcPr>
            <w:tcW w:w="1265" w:type="dxa"/>
            <w:shd w:val="clear" w:color="auto" w:fill="auto"/>
            <w:noWrap/>
            <w:vAlign w:val="center"/>
          </w:tcPr>
          <w:p w14:paraId="2F3AFDE0" w14:textId="01F08955" w:rsidR="00D646CD" w:rsidRPr="00D646CD" w:rsidRDefault="00D646CD" w:rsidP="000C7C7D">
            <w:pPr>
              <w:spacing w:after="0" w:line="240" w:lineRule="auto"/>
              <w:jc w:val="right"/>
              <w:rPr>
                <w:rFonts w:ascii="Calibri" w:eastAsia="Times New Roman" w:hAnsi="Calibri" w:cs="Times New Roman"/>
                <w:b/>
                <w:bCs/>
                <w:color w:val="000000"/>
                <w:lang w:eastAsia="cs-CZ"/>
              </w:rPr>
            </w:pPr>
            <w:r w:rsidRPr="00D646CD">
              <w:rPr>
                <w:b/>
                <w:bCs/>
              </w:rPr>
              <w:t>5 5</w:t>
            </w:r>
            <w:r w:rsidR="009C6671">
              <w:rPr>
                <w:b/>
                <w:bCs/>
              </w:rPr>
              <w:t>65</w:t>
            </w:r>
          </w:p>
        </w:tc>
        <w:tc>
          <w:tcPr>
            <w:tcW w:w="1265" w:type="dxa"/>
            <w:shd w:val="clear" w:color="auto" w:fill="auto"/>
            <w:noWrap/>
            <w:vAlign w:val="center"/>
          </w:tcPr>
          <w:p w14:paraId="052A5471" w14:textId="03B59422" w:rsidR="00D646CD" w:rsidRPr="00D646CD" w:rsidRDefault="00D646CD" w:rsidP="000C7C7D">
            <w:pPr>
              <w:spacing w:after="0" w:line="240" w:lineRule="auto"/>
              <w:jc w:val="right"/>
              <w:rPr>
                <w:rFonts w:ascii="Calibri" w:eastAsia="Times New Roman" w:hAnsi="Calibri" w:cs="Times New Roman"/>
                <w:b/>
                <w:bCs/>
                <w:color w:val="000000"/>
                <w:lang w:eastAsia="cs-CZ"/>
              </w:rPr>
            </w:pPr>
            <w:r w:rsidRPr="00D646CD">
              <w:rPr>
                <w:b/>
                <w:bCs/>
              </w:rPr>
              <w:t>16 0</w:t>
            </w:r>
            <w:r w:rsidR="00F56602">
              <w:rPr>
                <w:b/>
                <w:bCs/>
              </w:rPr>
              <w:t>2</w:t>
            </w:r>
            <w:r w:rsidRPr="00D646CD">
              <w:rPr>
                <w:b/>
                <w:bCs/>
              </w:rPr>
              <w:t>8</w:t>
            </w:r>
          </w:p>
        </w:tc>
        <w:tc>
          <w:tcPr>
            <w:tcW w:w="1265" w:type="dxa"/>
            <w:shd w:val="clear" w:color="auto" w:fill="auto"/>
            <w:noWrap/>
            <w:vAlign w:val="center"/>
          </w:tcPr>
          <w:p w14:paraId="43F63344" w14:textId="0D2FC098" w:rsidR="00D646CD" w:rsidRPr="00D646CD" w:rsidRDefault="00D646CD" w:rsidP="000C7C7D">
            <w:pPr>
              <w:spacing w:after="0" w:line="240" w:lineRule="auto"/>
              <w:jc w:val="right"/>
              <w:rPr>
                <w:rFonts w:ascii="Calibri" w:eastAsia="Times New Roman" w:hAnsi="Calibri" w:cs="Times New Roman"/>
                <w:b/>
                <w:bCs/>
                <w:color w:val="000000"/>
                <w:lang w:eastAsia="cs-CZ"/>
              </w:rPr>
            </w:pPr>
            <w:r w:rsidRPr="00D646CD">
              <w:rPr>
                <w:b/>
                <w:bCs/>
              </w:rPr>
              <w:t>65</w:t>
            </w:r>
            <w:r w:rsidR="00AE663E">
              <w:rPr>
                <w:b/>
                <w:bCs/>
              </w:rPr>
              <w:t xml:space="preserve"> </w:t>
            </w:r>
            <w:r w:rsidRPr="00D646CD">
              <w:rPr>
                <w:b/>
                <w:bCs/>
              </w:rPr>
              <w:t>%</w:t>
            </w:r>
          </w:p>
        </w:tc>
      </w:tr>
    </w:tbl>
    <w:p w14:paraId="71B315B4" w14:textId="77777777" w:rsidR="00FE4CE5" w:rsidRDefault="00AB2F57" w:rsidP="00FE4CE5">
      <w:pPr>
        <w:spacing w:before="240" w:after="120"/>
        <w:jc w:val="both"/>
        <w:rPr>
          <w:szCs w:val="24"/>
        </w:rPr>
      </w:pPr>
      <w:r w:rsidRPr="006E2BE0">
        <w:rPr>
          <w:szCs w:val="24"/>
        </w:rPr>
        <w:t>Každého projektu se účastní v</w:t>
      </w:r>
      <w:r>
        <w:rPr>
          <w:szCs w:val="24"/>
        </w:rPr>
        <w:t> </w:t>
      </w:r>
      <w:r w:rsidRPr="006E2BE0">
        <w:rPr>
          <w:szCs w:val="24"/>
        </w:rPr>
        <w:t xml:space="preserve">průměru </w:t>
      </w:r>
      <w:r>
        <w:rPr>
          <w:szCs w:val="24"/>
        </w:rPr>
        <w:t>2,5</w:t>
      </w:r>
      <w:r w:rsidRPr="006E2BE0">
        <w:rPr>
          <w:szCs w:val="24"/>
        </w:rPr>
        <w:t xml:space="preserve"> účastníka.</w:t>
      </w:r>
      <w:r w:rsidR="00FE4CE5">
        <w:rPr>
          <w:szCs w:val="24"/>
        </w:rPr>
        <w:t xml:space="preserve"> </w:t>
      </w:r>
      <w:r>
        <w:rPr>
          <w:szCs w:val="24"/>
        </w:rPr>
        <w:t>Pouze necelá jedna desetina projektů je řešena jedním podnikem samostatně, bez dalších účastníků. Několik projektů spolu řeší dva a více podniků a téměř 90 % projektů je řešeno v účinné spolupráci podniku a alespoň jedné výzkumné organizace. U PP2 to platí s ohledem na jeho podmínky ze 100 %, ale i u PP1, kde spolupráce není povinná, je přes 88 % projektů řešeno ve spolupráci podniku a výzkumné organizace.</w:t>
      </w:r>
      <w:r w:rsidR="00FE4CE5" w:rsidRPr="00FE4CE5">
        <w:rPr>
          <w:szCs w:val="24"/>
        </w:rPr>
        <w:t xml:space="preserve"> </w:t>
      </w:r>
    </w:p>
    <w:p w14:paraId="02859E8B" w14:textId="297CE6F9" w:rsidR="00AB2F57" w:rsidRPr="00FE4CE5" w:rsidRDefault="00FE4CE5" w:rsidP="00FE4CE5">
      <w:pPr>
        <w:spacing w:before="240" w:after="120"/>
        <w:jc w:val="both"/>
        <w:rPr>
          <w:rFonts w:cs="Arial"/>
        </w:rPr>
      </w:pPr>
      <w:r w:rsidRPr="00E04715">
        <w:rPr>
          <w:szCs w:val="24"/>
        </w:rPr>
        <w:lastRenderedPageBreak/>
        <w:t xml:space="preserve">Pokud </w:t>
      </w:r>
      <w:r>
        <w:rPr>
          <w:szCs w:val="24"/>
        </w:rPr>
        <w:t>tedy ne</w:t>
      </w:r>
      <w:r w:rsidRPr="00E04715">
        <w:rPr>
          <w:szCs w:val="24"/>
        </w:rPr>
        <w:t xml:space="preserve">sledujeme </w:t>
      </w:r>
      <w:r>
        <w:rPr>
          <w:szCs w:val="24"/>
        </w:rPr>
        <w:t xml:space="preserve">počet zapojených organizací, ale </w:t>
      </w:r>
      <w:r w:rsidRPr="00E04715">
        <w:rPr>
          <w:szCs w:val="24"/>
        </w:rPr>
        <w:t xml:space="preserve">počet </w:t>
      </w:r>
      <w:r w:rsidRPr="006E2BE0">
        <w:rPr>
          <w:szCs w:val="24"/>
        </w:rPr>
        <w:t xml:space="preserve">účastí jednotlivých typů subjektů, pak </w:t>
      </w:r>
      <w:r>
        <w:rPr>
          <w:szCs w:val="24"/>
        </w:rPr>
        <w:t>nejvíce zastoupeny jsou opět veřejné vysoké školy</w:t>
      </w:r>
      <w:r w:rsidRPr="006E2BE0">
        <w:rPr>
          <w:szCs w:val="24"/>
        </w:rPr>
        <w:t>.</w:t>
      </w:r>
      <w:r>
        <w:rPr>
          <w:szCs w:val="24"/>
        </w:rPr>
        <w:t xml:space="preserve"> Podrobnější přehled uvádí následující tabulka.</w:t>
      </w:r>
    </w:p>
    <w:p w14:paraId="61D6458F" w14:textId="24CE1838" w:rsidR="00AE748D" w:rsidRPr="00AE748D" w:rsidRDefault="00AE748D" w:rsidP="00A7392F">
      <w:pPr>
        <w:pStyle w:val="Titulek"/>
      </w:pPr>
      <w:bookmarkStart w:id="28" w:name="_Toc150180765"/>
      <w:bookmarkStart w:id="29" w:name="_Toc185334576"/>
      <w:r w:rsidRPr="00B10CE5">
        <w:t xml:space="preserve">Tabulka </w:t>
      </w:r>
      <w:r w:rsidR="00353407">
        <w:fldChar w:fldCharType="begin"/>
      </w:r>
      <w:r w:rsidR="00353407">
        <w:instrText xml:space="preserve"> SEQ Tabulka \* ARABIC </w:instrText>
      </w:r>
      <w:r w:rsidR="00353407">
        <w:fldChar w:fldCharType="separate"/>
      </w:r>
      <w:r w:rsidR="00353407">
        <w:rPr>
          <w:noProof/>
        </w:rPr>
        <w:t>9</w:t>
      </w:r>
      <w:r w:rsidR="00353407">
        <w:rPr>
          <w:noProof/>
        </w:rPr>
        <w:fldChar w:fldCharType="end"/>
      </w:r>
      <w:r w:rsidRPr="00B10CE5">
        <w:t>: Počet účastí jednotlivých typů organizací</w:t>
      </w:r>
      <w:bookmarkEnd w:id="28"/>
      <w:bookmarkEnd w:id="29"/>
    </w:p>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51"/>
        <w:gridCol w:w="1616"/>
        <w:gridCol w:w="1616"/>
        <w:gridCol w:w="1616"/>
      </w:tblGrid>
      <w:tr w:rsidR="00AE748D" w:rsidRPr="00AE748D" w14:paraId="0C55D237" w14:textId="77777777" w:rsidTr="000C7C7D">
        <w:trPr>
          <w:trHeight w:val="856"/>
        </w:trPr>
        <w:tc>
          <w:tcPr>
            <w:tcW w:w="1951" w:type="dxa"/>
            <w:shd w:val="clear" w:color="auto" w:fill="B9E0F7" w:themeFill="accent5"/>
            <w:vAlign w:val="center"/>
            <w:hideMark/>
          </w:tcPr>
          <w:p w14:paraId="58B480A4" w14:textId="77777777" w:rsidR="00AE748D" w:rsidRPr="00AE748D" w:rsidRDefault="00AE748D" w:rsidP="00AE748D">
            <w:pPr>
              <w:spacing w:after="0"/>
              <w:jc w:val="center"/>
              <w:rPr>
                <w:rFonts w:ascii="Calibri" w:eastAsia="Times New Roman" w:hAnsi="Calibri" w:cs="Times New Roman"/>
                <w:color w:val="000000"/>
                <w:lang w:eastAsia="cs-CZ"/>
              </w:rPr>
            </w:pPr>
            <w:r w:rsidRPr="00AE748D">
              <w:rPr>
                <w:rFonts w:ascii="Calibri" w:eastAsia="Times New Roman" w:hAnsi="Calibri" w:cs="Times New Roman"/>
                <w:color w:val="000000"/>
                <w:lang w:eastAsia="cs-CZ"/>
              </w:rPr>
              <w:t>Typ organizace</w:t>
            </w:r>
          </w:p>
        </w:tc>
        <w:tc>
          <w:tcPr>
            <w:tcW w:w="1616" w:type="dxa"/>
            <w:shd w:val="clear" w:color="auto" w:fill="B9E0F7" w:themeFill="accent5"/>
            <w:vAlign w:val="center"/>
            <w:hideMark/>
          </w:tcPr>
          <w:p w14:paraId="1FB7E5DA" w14:textId="27C30B1E" w:rsidR="00AE748D" w:rsidRPr="00AE748D" w:rsidRDefault="00AE748D" w:rsidP="00EC74C3">
            <w:pPr>
              <w:spacing w:after="0" w:line="240" w:lineRule="auto"/>
              <w:jc w:val="center"/>
              <w:rPr>
                <w:rFonts w:ascii="Calibri" w:eastAsia="Times New Roman" w:hAnsi="Calibri" w:cs="Times New Roman"/>
                <w:color w:val="000000"/>
                <w:lang w:eastAsia="cs-CZ"/>
              </w:rPr>
            </w:pPr>
            <w:r w:rsidRPr="00AE748D">
              <w:rPr>
                <w:rFonts w:ascii="Calibri" w:eastAsia="Times New Roman" w:hAnsi="Calibri" w:cs="Times New Roman"/>
                <w:color w:val="000000"/>
                <w:lang w:eastAsia="cs-CZ"/>
              </w:rPr>
              <w:t xml:space="preserve">Počet </w:t>
            </w:r>
            <w:r w:rsidR="00EC74C3">
              <w:rPr>
                <w:rFonts w:ascii="Calibri" w:eastAsia="Times New Roman" w:hAnsi="Calibri" w:cs="Times New Roman"/>
                <w:color w:val="000000"/>
                <w:lang w:eastAsia="cs-CZ"/>
              </w:rPr>
              <w:t>účastí</w:t>
            </w:r>
          </w:p>
        </w:tc>
        <w:tc>
          <w:tcPr>
            <w:tcW w:w="1616" w:type="dxa"/>
            <w:shd w:val="clear" w:color="auto" w:fill="B9E0F7" w:themeFill="accent5"/>
            <w:vAlign w:val="center"/>
            <w:hideMark/>
          </w:tcPr>
          <w:p w14:paraId="6CF9A09A" w14:textId="77777777" w:rsidR="00AE748D" w:rsidRPr="00AE748D" w:rsidRDefault="00AE748D" w:rsidP="00AE748D">
            <w:pPr>
              <w:spacing w:after="0" w:line="240" w:lineRule="auto"/>
              <w:jc w:val="center"/>
              <w:rPr>
                <w:rFonts w:ascii="Calibri" w:eastAsia="Times New Roman" w:hAnsi="Calibri" w:cs="Times New Roman"/>
                <w:color w:val="000000"/>
                <w:lang w:eastAsia="cs-CZ"/>
              </w:rPr>
            </w:pPr>
            <w:r w:rsidRPr="00AE748D">
              <w:rPr>
                <w:rFonts w:ascii="Calibri" w:eastAsia="Times New Roman" w:hAnsi="Calibri" w:cs="Times New Roman"/>
                <w:color w:val="000000"/>
                <w:lang w:eastAsia="cs-CZ"/>
              </w:rPr>
              <w:t>Výše dotace (mil. Kč)</w:t>
            </w:r>
          </w:p>
        </w:tc>
        <w:tc>
          <w:tcPr>
            <w:tcW w:w="1616" w:type="dxa"/>
            <w:shd w:val="clear" w:color="auto" w:fill="B9E0F7" w:themeFill="accent5"/>
            <w:vAlign w:val="center"/>
            <w:hideMark/>
          </w:tcPr>
          <w:p w14:paraId="3F932DEE" w14:textId="308F2C13" w:rsidR="00AE748D" w:rsidRPr="00AE748D" w:rsidRDefault="00AE748D" w:rsidP="00AE748D">
            <w:pPr>
              <w:spacing w:after="0" w:line="240" w:lineRule="auto"/>
              <w:jc w:val="center"/>
              <w:rPr>
                <w:rFonts w:ascii="Calibri" w:eastAsia="Times New Roman" w:hAnsi="Calibri" w:cs="Times New Roman"/>
                <w:color w:val="000000"/>
                <w:lang w:eastAsia="cs-CZ"/>
              </w:rPr>
            </w:pPr>
            <w:r w:rsidRPr="00AE748D">
              <w:rPr>
                <w:rFonts w:ascii="Calibri" w:eastAsia="Times New Roman" w:hAnsi="Calibri" w:cs="Times New Roman"/>
                <w:color w:val="000000"/>
                <w:lang w:eastAsia="cs-CZ"/>
              </w:rPr>
              <w:t>P</w:t>
            </w:r>
            <w:r>
              <w:rPr>
                <w:rFonts w:ascii="Calibri" w:eastAsia="Times New Roman" w:hAnsi="Calibri" w:cs="Times New Roman"/>
                <w:color w:val="000000"/>
                <w:lang w:eastAsia="cs-CZ"/>
              </w:rPr>
              <w:t>r</w:t>
            </w:r>
            <w:r w:rsidRPr="00AE748D">
              <w:rPr>
                <w:rFonts w:ascii="Calibri" w:eastAsia="Times New Roman" w:hAnsi="Calibri" w:cs="Times New Roman"/>
                <w:color w:val="000000"/>
                <w:lang w:eastAsia="cs-CZ"/>
              </w:rPr>
              <w:t>ůměrná výše dotace na účast</w:t>
            </w:r>
          </w:p>
        </w:tc>
      </w:tr>
      <w:tr w:rsidR="005C1448" w:rsidRPr="00AE748D" w14:paraId="7395B322" w14:textId="77777777" w:rsidTr="000C7C7D">
        <w:trPr>
          <w:trHeight w:val="340"/>
        </w:trPr>
        <w:tc>
          <w:tcPr>
            <w:tcW w:w="1951" w:type="dxa"/>
            <w:shd w:val="clear" w:color="auto" w:fill="auto"/>
            <w:noWrap/>
            <w:vAlign w:val="center"/>
            <w:hideMark/>
          </w:tcPr>
          <w:p w14:paraId="536E37C9" w14:textId="725E0247" w:rsidR="005C1448" w:rsidRPr="00AE748D" w:rsidRDefault="005C1448" w:rsidP="000C7C7D">
            <w:pPr>
              <w:spacing w:after="0" w:line="240" w:lineRule="auto"/>
              <w:rPr>
                <w:rFonts w:ascii="Calibri" w:eastAsia="Times New Roman" w:hAnsi="Calibri" w:cs="Times New Roman"/>
                <w:color w:val="000000"/>
                <w:lang w:eastAsia="cs-CZ"/>
              </w:rPr>
            </w:pPr>
            <w:r w:rsidRPr="00A77C11">
              <w:t>MP</w:t>
            </w:r>
          </w:p>
        </w:tc>
        <w:tc>
          <w:tcPr>
            <w:tcW w:w="1616" w:type="dxa"/>
            <w:shd w:val="clear" w:color="auto" w:fill="auto"/>
            <w:noWrap/>
            <w:vAlign w:val="center"/>
          </w:tcPr>
          <w:p w14:paraId="465EEF83" w14:textId="011A33C8"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45</w:t>
            </w:r>
            <w:r w:rsidR="009C6671">
              <w:t>2</w:t>
            </w:r>
          </w:p>
        </w:tc>
        <w:tc>
          <w:tcPr>
            <w:tcW w:w="1616" w:type="dxa"/>
            <w:shd w:val="clear" w:color="auto" w:fill="auto"/>
            <w:noWrap/>
            <w:vAlign w:val="center"/>
          </w:tcPr>
          <w:p w14:paraId="43175818" w14:textId="65414197"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2 8</w:t>
            </w:r>
            <w:r w:rsidR="009C6671">
              <w:t>76</w:t>
            </w:r>
          </w:p>
        </w:tc>
        <w:tc>
          <w:tcPr>
            <w:tcW w:w="1616" w:type="dxa"/>
            <w:shd w:val="clear" w:color="auto" w:fill="auto"/>
            <w:noWrap/>
            <w:vAlign w:val="center"/>
          </w:tcPr>
          <w:p w14:paraId="719B72F2" w14:textId="373A98E5"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6,4</w:t>
            </w:r>
          </w:p>
        </w:tc>
      </w:tr>
      <w:tr w:rsidR="005C1448" w:rsidRPr="00AE748D" w14:paraId="44877031" w14:textId="77777777" w:rsidTr="000C7C7D">
        <w:trPr>
          <w:trHeight w:val="340"/>
        </w:trPr>
        <w:tc>
          <w:tcPr>
            <w:tcW w:w="1951" w:type="dxa"/>
            <w:shd w:val="clear" w:color="auto" w:fill="auto"/>
            <w:noWrap/>
            <w:vAlign w:val="center"/>
            <w:hideMark/>
          </w:tcPr>
          <w:p w14:paraId="51061E0E" w14:textId="5E086C2C" w:rsidR="005C1448" w:rsidRPr="00AE748D" w:rsidRDefault="005C1448" w:rsidP="000C7C7D">
            <w:pPr>
              <w:spacing w:after="0" w:line="240" w:lineRule="auto"/>
              <w:rPr>
                <w:rFonts w:ascii="Calibri" w:eastAsia="Times New Roman" w:hAnsi="Calibri" w:cs="Times New Roman"/>
                <w:color w:val="000000"/>
                <w:lang w:eastAsia="cs-CZ"/>
              </w:rPr>
            </w:pPr>
            <w:r w:rsidRPr="00A77C11">
              <w:t>SP</w:t>
            </w:r>
          </w:p>
        </w:tc>
        <w:tc>
          <w:tcPr>
            <w:tcW w:w="1616" w:type="dxa"/>
            <w:shd w:val="clear" w:color="auto" w:fill="auto"/>
            <w:noWrap/>
            <w:vAlign w:val="center"/>
          </w:tcPr>
          <w:p w14:paraId="72BBDEEB" w14:textId="137E3811"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20</w:t>
            </w:r>
            <w:r w:rsidR="009C6671">
              <w:t>3</w:t>
            </w:r>
          </w:p>
        </w:tc>
        <w:tc>
          <w:tcPr>
            <w:tcW w:w="1616" w:type="dxa"/>
            <w:shd w:val="clear" w:color="auto" w:fill="auto"/>
            <w:noWrap/>
            <w:vAlign w:val="center"/>
          </w:tcPr>
          <w:p w14:paraId="2C63C36D" w14:textId="6C39ACEE"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1 6</w:t>
            </w:r>
            <w:r w:rsidR="009C6671">
              <w:t>73</w:t>
            </w:r>
          </w:p>
        </w:tc>
        <w:tc>
          <w:tcPr>
            <w:tcW w:w="1616" w:type="dxa"/>
            <w:shd w:val="clear" w:color="auto" w:fill="auto"/>
            <w:noWrap/>
            <w:vAlign w:val="center"/>
          </w:tcPr>
          <w:p w14:paraId="0A4CEF5D" w14:textId="4C542E3B"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8,</w:t>
            </w:r>
            <w:r w:rsidR="009C6671">
              <w:t>2</w:t>
            </w:r>
          </w:p>
        </w:tc>
      </w:tr>
      <w:tr w:rsidR="005C1448" w:rsidRPr="00AE748D" w14:paraId="45CC799C" w14:textId="77777777" w:rsidTr="000C7C7D">
        <w:trPr>
          <w:trHeight w:val="340"/>
        </w:trPr>
        <w:tc>
          <w:tcPr>
            <w:tcW w:w="1951" w:type="dxa"/>
            <w:shd w:val="clear" w:color="auto" w:fill="auto"/>
            <w:noWrap/>
            <w:vAlign w:val="center"/>
            <w:hideMark/>
          </w:tcPr>
          <w:p w14:paraId="1AE7E47D" w14:textId="02B39AA8" w:rsidR="005C1448" w:rsidRPr="00AE748D" w:rsidRDefault="005C1448" w:rsidP="000C7C7D">
            <w:pPr>
              <w:spacing w:after="0" w:line="240" w:lineRule="auto"/>
              <w:rPr>
                <w:rFonts w:ascii="Calibri" w:eastAsia="Times New Roman" w:hAnsi="Calibri" w:cs="Times New Roman"/>
                <w:color w:val="000000"/>
                <w:lang w:eastAsia="cs-CZ"/>
              </w:rPr>
            </w:pPr>
            <w:r w:rsidRPr="00A77C11">
              <w:t>VP</w:t>
            </w:r>
          </w:p>
        </w:tc>
        <w:tc>
          <w:tcPr>
            <w:tcW w:w="1616" w:type="dxa"/>
            <w:shd w:val="clear" w:color="auto" w:fill="auto"/>
            <w:noWrap/>
            <w:vAlign w:val="center"/>
          </w:tcPr>
          <w:p w14:paraId="4D355D56" w14:textId="3431DE67"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251</w:t>
            </w:r>
          </w:p>
        </w:tc>
        <w:tc>
          <w:tcPr>
            <w:tcW w:w="1616" w:type="dxa"/>
            <w:shd w:val="clear" w:color="auto" w:fill="auto"/>
            <w:noWrap/>
            <w:vAlign w:val="center"/>
          </w:tcPr>
          <w:p w14:paraId="134A827D" w14:textId="7BAC0E9C"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1 79</w:t>
            </w:r>
            <w:r w:rsidR="009C6671">
              <w:t>5</w:t>
            </w:r>
          </w:p>
        </w:tc>
        <w:tc>
          <w:tcPr>
            <w:tcW w:w="1616" w:type="dxa"/>
            <w:shd w:val="clear" w:color="auto" w:fill="auto"/>
            <w:noWrap/>
            <w:vAlign w:val="center"/>
          </w:tcPr>
          <w:p w14:paraId="2C7CAB83" w14:textId="5832A9F0"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7,2</w:t>
            </w:r>
          </w:p>
        </w:tc>
      </w:tr>
      <w:tr w:rsidR="005C1448" w:rsidRPr="00AE748D" w14:paraId="42FD3BD2" w14:textId="77777777" w:rsidTr="000C7C7D">
        <w:trPr>
          <w:trHeight w:val="340"/>
        </w:trPr>
        <w:tc>
          <w:tcPr>
            <w:tcW w:w="1951" w:type="dxa"/>
            <w:shd w:val="clear" w:color="auto" w:fill="auto"/>
            <w:noWrap/>
            <w:vAlign w:val="center"/>
            <w:hideMark/>
          </w:tcPr>
          <w:p w14:paraId="50623847" w14:textId="2AAE34E7" w:rsidR="005C1448" w:rsidRPr="00AE748D" w:rsidRDefault="005C1448" w:rsidP="000C7C7D">
            <w:pPr>
              <w:spacing w:after="0" w:line="240" w:lineRule="auto"/>
              <w:rPr>
                <w:rFonts w:ascii="Calibri" w:eastAsia="Times New Roman" w:hAnsi="Calibri" w:cs="Times New Roman"/>
                <w:color w:val="000000"/>
                <w:lang w:eastAsia="cs-CZ"/>
              </w:rPr>
            </w:pPr>
            <w:r w:rsidRPr="00A77C11">
              <w:t>VO</w:t>
            </w:r>
          </w:p>
        </w:tc>
        <w:tc>
          <w:tcPr>
            <w:tcW w:w="1616" w:type="dxa"/>
            <w:shd w:val="clear" w:color="auto" w:fill="auto"/>
            <w:noWrap/>
            <w:vAlign w:val="center"/>
          </w:tcPr>
          <w:p w14:paraId="6315D721" w14:textId="78305E27"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763</w:t>
            </w:r>
          </w:p>
        </w:tc>
        <w:tc>
          <w:tcPr>
            <w:tcW w:w="1616" w:type="dxa"/>
            <w:shd w:val="clear" w:color="auto" w:fill="auto"/>
            <w:noWrap/>
            <w:vAlign w:val="center"/>
          </w:tcPr>
          <w:p w14:paraId="57EAF6F0" w14:textId="12B96319"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4 1</w:t>
            </w:r>
            <w:r w:rsidR="009C6671">
              <w:t>2</w:t>
            </w:r>
            <w:r w:rsidRPr="00A77C11">
              <w:t>0</w:t>
            </w:r>
          </w:p>
        </w:tc>
        <w:tc>
          <w:tcPr>
            <w:tcW w:w="1616" w:type="dxa"/>
            <w:shd w:val="clear" w:color="auto" w:fill="auto"/>
            <w:noWrap/>
            <w:vAlign w:val="center"/>
          </w:tcPr>
          <w:p w14:paraId="6C1028E1" w14:textId="70160ED8" w:rsidR="005C1448" w:rsidRPr="00AE748D" w:rsidRDefault="005C1448" w:rsidP="000C7C7D">
            <w:pPr>
              <w:spacing w:after="0" w:line="240" w:lineRule="auto"/>
              <w:jc w:val="right"/>
              <w:rPr>
                <w:rFonts w:ascii="Calibri" w:eastAsia="Times New Roman" w:hAnsi="Calibri" w:cs="Times New Roman"/>
                <w:color w:val="000000"/>
                <w:lang w:eastAsia="cs-CZ"/>
              </w:rPr>
            </w:pPr>
            <w:r w:rsidRPr="00A77C11">
              <w:t>5,4</w:t>
            </w:r>
          </w:p>
        </w:tc>
      </w:tr>
      <w:tr w:rsidR="005C1448" w:rsidRPr="00AE748D" w14:paraId="759AC343" w14:textId="77777777" w:rsidTr="000C7C7D">
        <w:trPr>
          <w:trHeight w:val="340"/>
        </w:trPr>
        <w:tc>
          <w:tcPr>
            <w:tcW w:w="1951" w:type="dxa"/>
            <w:shd w:val="clear" w:color="auto" w:fill="F2F2F2" w:themeFill="background1" w:themeFillShade="F2"/>
            <w:noWrap/>
            <w:vAlign w:val="center"/>
            <w:hideMark/>
          </w:tcPr>
          <w:p w14:paraId="07ECB957" w14:textId="19445CB2" w:rsidR="005C1448" w:rsidRPr="005C1448" w:rsidRDefault="005C1448" w:rsidP="000C7C7D">
            <w:pPr>
              <w:spacing w:after="0" w:line="240" w:lineRule="auto"/>
              <w:rPr>
                <w:rFonts w:ascii="Calibri" w:eastAsia="Times New Roman" w:hAnsi="Calibri" w:cs="Times New Roman"/>
                <w:i/>
                <w:iCs/>
                <w:color w:val="000000"/>
                <w:lang w:eastAsia="cs-CZ"/>
              </w:rPr>
            </w:pPr>
            <w:r w:rsidRPr="005C1448">
              <w:rPr>
                <w:i/>
                <w:iCs/>
              </w:rPr>
              <w:t>z toho: AV ČR</w:t>
            </w:r>
          </w:p>
        </w:tc>
        <w:tc>
          <w:tcPr>
            <w:tcW w:w="1616" w:type="dxa"/>
            <w:shd w:val="clear" w:color="000000" w:fill="F2F2F2"/>
            <w:noWrap/>
            <w:vAlign w:val="center"/>
          </w:tcPr>
          <w:p w14:paraId="1F8EEE1D" w14:textId="6EA4E59D"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58</w:t>
            </w:r>
          </w:p>
        </w:tc>
        <w:tc>
          <w:tcPr>
            <w:tcW w:w="1616" w:type="dxa"/>
            <w:shd w:val="clear" w:color="000000" w:fill="F2F2F2"/>
            <w:noWrap/>
            <w:vAlign w:val="center"/>
          </w:tcPr>
          <w:p w14:paraId="49518828" w14:textId="4709A6C7"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362</w:t>
            </w:r>
          </w:p>
        </w:tc>
        <w:tc>
          <w:tcPr>
            <w:tcW w:w="1616" w:type="dxa"/>
            <w:shd w:val="clear" w:color="000000" w:fill="F2F2F2"/>
            <w:noWrap/>
            <w:vAlign w:val="center"/>
          </w:tcPr>
          <w:p w14:paraId="57E13428" w14:textId="58500C1D"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6,2</w:t>
            </w:r>
          </w:p>
        </w:tc>
      </w:tr>
      <w:tr w:rsidR="005C1448" w:rsidRPr="00AE748D" w14:paraId="12E28892" w14:textId="77777777" w:rsidTr="000C7C7D">
        <w:trPr>
          <w:trHeight w:val="340"/>
        </w:trPr>
        <w:tc>
          <w:tcPr>
            <w:tcW w:w="1951" w:type="dxa"/>
            <w:shd w:val="clear" w:color="auto" w:fill="F2F2F2" w:themeFill="background1" w:themeFillShade="F2"/>
            <w:noWrap/>
            <w:vAlign w:val="center"/>
            <w:hideMark/>
          </w:tcPr>
          <w:p w14:paraId="4D41CE49" w14:textId="1898D4D6" w:rsidR="005C1448" w:rsidRPr="005C1448" w:rsidRDefault="005C1448" w:rsidP="000C7C7D">
            <w:pPr>
              <w:spacing w:after="0" w:line="240" w:lineRule="auto"/>
              <w:rPr>
                <w:rFonts w:ascii="Calibri" w:eastAsia="Times New Roman" w:hAnsi="Calibri" w:cs="Times New Roman"/>
                <w:i/>
                <w:iCs/>
                <w:color w:val="000000"/>
                <w:lang w:eastAsia="cs-CZ"/>
              </w:rPr>
            </w:pPr>
            <w:r w:rsidRPr="005C1448">
              <w:rPr>
                <w:i/>
                <w:iCs/>
              </w:rPr>
              <w:t xml:space="preserve">             VŠ</w:t>
            </w:r>
          </w:p>
        </w:tc>
        <w:tc>
          <w:tcPr>
            <w:tcW w:w="1616" w:type="dxa"/>
            <w:shd w:val="clear" w:color="000000" w:fill="F2F2F2"/>
            <w:noWrap/>
            <w:vAlign w:val="center"/>
          </w:tcPr>
          <w:p w14:paraId="7093A48D" w14:textId="234D1B04"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571</w:t>
            </w:r>
          </w:p>
        </w:tc>
        <w:tc>
          <w:tcPr>
            <w:tcW w:w="1616" w:type="dxa"/>
            <w:shd w:val="clear" w:color="000000" w:fill="F2F2F2"/>
            <w:noWrap/>
            <w:vAlign w:val="center"/>
          </w:tcPr>
          <w:p w14:paraId="6B1CB3D9" w14:textId="1ADF427D"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3 0</w:t>
            </w:r>
            <w:r w:rsidR="009C6671">
              <w:rPr>
                <w:i/>
                <w:iCs/>
              </w:rPr>
              <w:t>5</w:t>
            </w:r>
            <w:r w:rsidRPr="005C1448">
              <w:rPr>
                <w:i/>
                <w:iCs/>
              </w:rPr>
              <w:t>2</w:t>
            </w:r>
          </w:p>
        </w:tc>
        <w:tc>
          <w:tcPr>
            <w:tcW w:w="1616" w:type="dxa"/>
            <w:shd w:val="clear" w:color="000000" w:fill="F2F2F2"/>
            <w:noWrap/>
            <w:vAlign w:val="center"/>
          </w:tcPr>
          <w:p w14:paraId="472C8B23" w14:textId="0F023FFB"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5,</w:t>
            </w:r>
            <w:r w:rsidR="009C6671">
              <w:rPr>
                <w:i/>
                <w:iCs/>
              </w:rPr>
              <w:t>3</w:t>
            </w:r>
          </w:p>
        </w:tc>
      </w:tr>
      <w:tr w:rsidR="005C1448" w:rsidRPr="00AE748D" w14:paraId="410E462D" w14:textId="77777777" w:rsidTr="000C7C7D">
        <w:trPr>
          <w:trHeight w:val="340"/>
        </w:trPr>
        <w:tc>
          <w:tcPr>
            <w:tcW w:w="1951" w:type="dxa"/>
            <w:shd w:val="clear" w:color="auto" w:fill="F2F2F2" w:themeFill="background1" w:themeFillShade="F2"/>
            <w:noWrap/>
            <w:vAlign w:val="center"/>
            <w:hideMark/>
          </w:tcPr>
          <w:p w14:paraId="179E0E20" w14:textId="28624DBE" w:rsidR="005C1448" w:rsidRPr="005C1448" w:rsidRDefault="005C1448" w:rsidP="000C7C7D">
            <w:pPr>
              <w:spacing w:after="0" w:line="240" w:lineRule="auto"/>
              <w:rPr>
                <w:rFonts w:ascii="Calibri" w:eastAsia="Times New Roman" w:hAnsi="Calibri" w:cs="Times New Roman"/>
                <w:i/>
                <w:iCs/>
                <w:color w:val="000000"/>
                <w:lang w:eastAsia="cs-CZ"/>
              </w:rPr>
            </w:pPr>
            <w:r w:rsidRPr="005C1448">
              <w:rPr>
                <w:i/>
                <w:iCs/>
              </w:rPr>
              <w:t xml:space="preserve">             VO soukr.</w:t>
            </w:r>
          </w:p>
        </w:tc>
        <w:tc>
          <w:tcPr>
            <w:tcW w:w="1616" w:type="dxa"/>
            <w:shd w:val="clear" w:color="000000" w:fill="F2F2F2"/>
            <w:noWrap/>
            <w:vAlign w:val="center"/>
          </w:tcPr>
          <w:p w14:paraId="2590A73C" w14:textId="5E4D3349"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63</w:t>
            </w:r>
          </w:p>
        </w:tc>
        <w:tc>
          <w:tcPr>
            <w:tcW w:w="1616" w:type="dxa"/>
            <w:shd w:val="clear" w:color="000000" w:fill="F2F2F2"/>
            <w:noWrap/>
            <w:vAlign w:val="center"/>
          </w:tcPr>
          <w:p w14:paraId="396C78D2" w14:textId="52B55960"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432</w:t>
            </w:r>
          </w:p>
        </w:tc>
        <w:tc>
          <w:tcPr>
            <w:tcW w:w="1616" w:type="dxa"/>
            <w:shd w:val="clear" w:color="000000" w:fill="F2F2F2"/>
            <w:noWrap/>
            <w:vAlign w:val="center"/>
          </w:tcPr>
          <w:p w14:paraId="1163E9D5" w14:textId="12329A42"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6,9</w:t>
            </w:r>
          </w:p>
        </w:tc>
      </w:tr>
      <w:tr w:rsidR="005C1448" w:rsidRPr="00AE748D" w14:paraId="0FA1B4DB" w14:textId="77777777" w:rsidTr="000C7C7D">
        <w:trPr>
          <w:trHeight w:val="340"/>
        </w:trPr>
        <w:tc>
          <w:tcPr>
            <w:tcW w:w="1951" w:type="dxa"/>
            <w:shd w:val="clear" w:color="auto" w:fill="F2F2F2" w:themeFill="background1" w:themeFillShade="F2"/>
            <w:noWrap/>
            <w:vAlign w:val="center"/>
            <w:hideMark/>
          </w:tcPr>
          <w:p w14:paraId="5BA71638" w14:textId="3A549C69" w:rsidR="005C1448" w:rsidRPr="005C1448" w:rsidRDefault="005C1448" w:rsidP="000C7C7D">
            <w:pPr>
              <w:spacing w:after="0" w:line="240" w:lineRule="auto"/>
              <w:rPr>
                <w:rFonts w:ascii="Calibri" w:eastAsia="Times New Roman" w:hAnsi="Calibri" w:cs="Times New Roman"/>
                <w:i/>
                <w:iCs/>
                <w:color w:val="000000"/>
                <w:lang w:eastAsia="cs-CZ"/>
              </w:rPr>
            </w:pPr>
            <w:r w:rsidRPr="005C1448">
              <w:rPr>
                <w:i/>
                <w:iCs/>
              </w:rPr>
              <w:t xml:space="preserve">             VO ostatní</w:t>
            </w:r>
          </w:p>
        </w:tc>
        <w:tc>
          <w:tcPr>
            <w:tcW w:w="1616" w:type="dxa"/>
            <w:shd w:val="clear" w:color="000000" w:fill="F2F2F2"/>
            <w:noWrap/>
            <w:vAlign w:val="center"/>
          </w:tcPr>
          <w:p w14:paraId="340C556F" w14:textId="5B013817"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71</w:t>
            </w:r>
          </w:p>
        </w:tc>
        <w:tc>
          <w:tcPr>
            <w:tcW w:w="1616" w:type="dxa"/>
            <w:shd w:val="clear" w:color="000000" w:fill="F2F2F2"/>
            <w:noWrap/>
            <w:vAlign w:val="center"/>
          </w:tcPr>
          <w:p w14:paraId="58365D29" w14:textId="58D1C34A"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274</w:t>
            </w:r>
          </w:p>
        </w:tc>
        <w:tc>
          <w:tcPr>
            <w:tcW w:w="1616" w:type="dxa"/>
            <w:shd w:val="clear" w:color="000000" w:fill="F2F2F2"/>
            <w:noWrap/>
            <w:vAlign w:val="center"/>
          </w:tcPr>
          <w:p w14:paraId="38A0E5EE" w14:textId="023DCE2B" w:rsidR="005C1448" w:rsidRPr="005C1448" w:rsidRDefault="005C1448" w:rsidP="000C7C7D">
            <w:pPr>
              <w:spacing w:after="0" w:line="240" w:lineRule="auto"/>
              <w:jc w:val="right"/>
              <w:rPr>
                <w:rFonts w:ascii="Calibri" w:eastAsia="Times New Roman" w:hAnsi="Calibri" w:cs="Times New Roman"/>
                <w:i/>
                <w:iCs/>
                <w:color w:val="000000"/>
                <w:lang w:eastAsia="cs-CZ"/>
              </w:rPr>
            </w:pPr>
            <w:r w:rsidRPr="005C1448">
              <w:rPr>
                <w:i/>
                <w:iCs/>
              </w:rPr>
              <w:t>3,9</w:t>
            </w:r>
          </w:p>
        </w:tc>
      </w:tr>
      <w:tr w:rsidR="005C1448" w:rsidRPr="005C1448" w14:paraId="2C25C7ED" w14:textId="77777777" w:rsidTr="000C7C7D">
        <w:trPr>
          <w:trHeight w:val="340"/>
        </w:trPr>
        <w:tc>
          <w:tcPr>
            <w:tcW w:w="1951" w:type="dxa"/>
            <w:shd w:val="clear" w:color="auto" w:fill="auto"/>
            <w:noWrap/>
            <w:vAlign w:val="center"/>
            <w:hideMark/>
          </w:tcPr>
          <w:p w14:paraId="49A3DD6C" w14:textId="181B0AC2" w:rsidR="005C1448" w:rsidRPr="005C1448" w:rsidRDefault="005C1448" w:rsidP="000C7C7D">
            <w:pPr>
              <w:spacing w:after="0" w:line="240" w:lineRule="auto"/>
              <w:rPr>
                <w:rFonts w:ascii="Calibri" w:eastAsia="Times New Roman" w:hAnsi="Calibri" w:cs="Times New Roman"/>
                <w:b/>
                <w:bCs/>
                <w:color w:val="000000"/>
                <w:lang w:eastAsia="cs-CZ"/>
              </w:rPr>
            </w:pPr>
            <w:r w:rsidRPr="005C1448">
              <w:rPr>
                <w:b/>
                <w:bCs/>
              </w:rPr>
              <w:t>CELKEM</w:t>
            </w:r>
          </w:p>
        </w:tc>
        <w:tc>
          <w:tcPr>
            <w:tcW w:w="1616" w:type="dxa"/>
            <w:shd w:val="clear" w:color="auto" w:fill="auto"/>
            <w:noWrap/>
            <w:vAlign w:val="center"/>
          </w:tcPr>
          <w:p w14:paraId="2E7243FD" w14:textId="607884BA" w:rsidR="005C1448" w:rsidRPr="005C1448" w:rsidRDefault="005C1448" w:rsidP="000C7C7D">
            <w:pPr>
              <w:spacing w:after="0" w:line="240" w:lineRule="auto"/>
              <w:jc w:val="right"/>
              <w:rPr>
                <w:rFonts w:ascii="Calibri" w:eastAsia="Times New Roman" w:hAnsi="Calibri" w:cs="Times New Roman"/>
                <w:b/>
                <w:bCs/>
                <w:color w:val="000000"/>
                <w:lang w:eastAsia="cs-CZ"/>
              </w:rPr>
            </w:pPr>
            <w:r w:rsidRPr="005C1448">
              <w:rPr>
                <w:b/>
                <w:bCs/>
              </w:rPr>
              <w:t>1 669</w:t>
            </w:r>
          </w:p>
        </w:tc>
        <w:tc>
          <w:tcPr>
            <w:tcW w:w="1616" w:type="dxa"/>
            <w:shd w:val="clear" w:color="auto" w:fill="auto"/>
            <w:noWrap/>
            <w:vAlign w:val="center"/>
          </w:tcPr>
          <w:p w14:paraId="70A70CE3" w14:textId="6D1B6343" w:rsidR="005C1448" w:rsidRPr="005C1448" w:rsidRDefault="005C1448" w:rsidP="000C7C7D">
            <w:pPr>
              <w:spacing w:after="0" w:line="240" w:lineRule="auto"/>
              <w:jc w:val="right"/>
              <w:rPr>
                <w:rFonts w:ascii="Calibri" w:eastAsia="Times New Roman" w:hAnsi="Calibri" w:cs="Times New Roman"/>
                <w:b/>
                <w:bCs/>
                <w:color w:val="000000"/>
                <w:lang w:eastAsia="cs-CZ"/>
              </w:rPr>
            </w:pPr>
            <w:r w:rsidRPr="005C1448">
              <w:rPr>
                <w:b/>
                <w:bCs/>
              </w:rPr>
              <w:t xml:space="preserve">10 </w:t>
            </w:r>
            <w:r w:rsidR="00F56602">
              <w:rPr>
                <w:b/>
                <w:bCs/>
              </w:rPr>
              <w:t>464</w:t>
            </w:r>
          </w:p>
        </w:tc>
        <w:tc>
          <w:tcPr>
            <w:tcW w:w="1616" w:type="dxa"/>
            <w:shd w:val="clear" w:color="auto" w:fill="auto"/>
            <w:noWrap/>
            <w:vAlign w:val="center"/>
          </w:tcPr>
          <w:p w14:paraId="53A64159" w14:textId="18C32DAA" w:rsidR="005C1448" w:rsidRPr="005C1448" w:rsidRDefault="005C1448" w:rsidP="000C7C7D">
            <w:pPr>
              <w:spacing w:after="0" w:line="240" w:lineRule="auto"/>
              <w:jc w:val="right"/>
              <w:rPr>
                <w:rFonts w:ascii="Calibri" w:eastAsia="Times New Roman" w:hAnsi="Calibri" w:cs="Times New Roman"/>
                <w:b/>
                <w:bCs/>
                <w:color w:val="000000"/>
                <w:lang w:eastAsia="cs-CZ"/>
              </w:rPr>
            </w:pPr>
            <w:r w:rsidRPr="005C1448">
              <w:rPr>
                <w:b/>
                <w:bCs/>
              </w:rPr>
              <w:t>6,3</w:t>
            </w:r>
          </w:p>
        </w:tc>
      </w:tr>
    </w:tbl>
    <w:p w14:paraId="4B8BE4CC" w14:textId="2E6D101A" w:rsidR="00700304" w:rsidRDefault="005B0FC2" w:rsidP="00585C0C">
      <w:pPr>
        <w:spacing w:before="240" w:after="120"/>
        <w:jc w:val="both"/>
        <w:rPr>
          <w:szCs w:val="24"/>
        </w:rPr>
      </w:pPr>
      <w:r>
        <w:rPr>
          <w:szCs w:val="24"/>
        </w:rPr>
        <w:t xml:space="preserve">Nejvíce podpořených projektů je </w:t>
      </w:r>
      <w:r w:rsidR="001D2FA9">
        <w:rPr>
          <w:szCs w:val="24"/>
        </w:rPr>
        <w:t xml:space="preserve">dle očekávání </w:t>
      </w:r>
      <w:r>
        <w:rPr>
          <w:szCs w:val="24"/>
        </w:rPr>
        <w:t xml:space="preserve">realizováno </w:t>
      </w:r>
      <w:r w:rsidR="002A33A1">
        <w:rPr>
          <w:szCs w:val="24"/>
        </w:rPr>
        <w:t>podniky z Hlavního města Prahy a</w:t>
      </w:r>
      <w:r w:rsidR="000F0E22">
        <w:rPr>
          <w:szCs w:val="24"/>
        </w:rPr>
        <w:t> </w:t>
      </w:r>
      <w:r w:rsidR="002A33A1">
        <w:rPr>
          <w:szCs w:val="24"/>
        </w:rPr>
        <w:t xml:space="preserve">z Jihomoravského kraje, </w:t>
      </w:r>
      <w:r w:rsidR="001D2FA9">
        <w:rPr>
          <w:szCs w:val="24"/>
        </w:rPr>
        <w:t>ostatní kraje již mají za prvními dvěma značný odstup</w:t>
      </w:r>
      <w:r>
        <w:rPr>
          <w:szCs w:val="24"/>
        </w:rPr>
        <w:t xml:space="preserve">. </w:t>
      </w:r>
      <w:r w:rsidR="006160D6">
        <w:rPr>
          <w:szCs w:val="24"/>
        </w:rPr>
        <w:t>N</w:t>
      </w:r>
      <w:r>
        <w:rPr>
          <w:szCs w:val="24"/>
        </w:rPr>
        <w:t xml:space="preserve">ejnižší zastoupení podpořených projektů je </w:t>
      </w:r>
      <w:r w:rsidR="00175F16">
        <w:rPr>
          <w:szCs w:val="24"/>
        </w:rPr>
        <w:t xml:space="preserve">tradičně </w:t>
      </w:r>
      <w:r>
        <w:rPr>
          <w:szCs w:val="24"/>
        </w:rPr>
        <w:t>v</w:t>
      </w:r>
      <w:r w:rsidR="00CE7C79">
        <w:rPr>
          <w:szCs w:val="24"/>
        </w:rPr>
        <w:t> </w:t>
      </w:r>
      <w:r>
        <w:rPr>
          <w:szCs w:val="24"/>
        </w:rPr>
        <w:t xml:space="preserve">kraji </w:t>
      </w:r>
      <w:r w:rsidR="00674371">
        <w:rPr>
          <w:szCs w:val="24"/>
        </w:rPr>
        <w:t>Karlovarském</w:t>
      </w:r>
      <w:r w:rsidR="00812845">
        <w:rPr>
          <w:szCs w:val="24"/>
        </w:rPr>
        <w:t>.</w:t>
      </w:r>
      <w:r>
        <w:rPr>
          <w:szCs w:val="24"/>
        </w:rPr>
        <w:t xml:space="preserve"> </w:t>
      </w:r>
      <w:r w:rsidR="00175F16">
        <w:rPr>
          <w:szCs w:val="24"/>
        </w:rPr>
        <w:t>Úspěšnost žádostí z jednotlivých krajů se pohybuje v rozmezí 2</w:t>
      </w:r>
      <w:r w:rsidR="000F0E22">
        <w:rPr>
          <w:szCs w:val="24"/>
        </w:rPr>
        <w:t>0</w:t>
      </w:r>
      <w:r w:rsidR="00175F16">
        <w:rPr>
          <w:szCs w:val="24"/>
        </w:rPr>
        <w:t xml:space="preserve"> až 35 %. </w:t>
      </w:r>
    </w:p>
    <w:p w14:paraId="18B5C962" w14:textId="3DE486BC" w:rsidR="001E00B5" w:rsidRDefault="001E00B5" w:rsidP="008B4562">
      <w:pPr>
        <w:keepNext/>
        <w:spacing w:after="120" w:line="240" w:lineRule="auto"/>
        <w:jc w:val="both"/>
        <w:rPr>
          <w:b/>
          <w:i/>
        </w:rPr>
      </w:pPr>
      <w:bookmarkStart w:id="30" w:name="_Toc150180766"/>
      <w:bookmarkStart w:id="31" w:name="_Toc185334577"/>
      <w:r w:rsidRPr="007C1F2C">
        <w:rPr>
          <w:b/>
          <w:i/>
        </w:rPr>
        <w:t xml:space="preserve">Tabulka </w:t>
      </w:r>
      <w:r w:rsidRPr="007C1F2C">
        <w:rPr>
          <w:b/>
          <w:i/>
        </w:rPr>
        <w:fldChar w:fldCharType="begin"/>
      </w:r>
      <w:r w:rsidRPr="007C1F2C">
        <w:rPr>
          <w:b/>
          <w:i/>
        </w:rPr>
        <w:instrText xml:space="preserve"> SEQ Tabulka \* ARABIC </w:instrText>
      </w:r>
      <w:r w:rsidRPr="007C1F2C">
        <w:rPr>
          <w:b/>
          <w:i/>
        </w:rPr>
        <w:fldChar w:fldCharType="separate"/>
      </w:r>
      <w:r w:rsidR="00353407">
        <w:rPr>
          <w:b/>
          <w:i/>
          <w:noProof/>
        </w:rPr>
        <w:t>10</w:t>
      </w:r>
      <w:r w:rsidRPr="007C1F2C">
        <w:rPr>
          <w:b/>
          <w:i/>
        </w:rPr>
        <w:fldChar w:fldCharType="end"/>
      </w:r>
      <w:r w:rsidRPr="007C1F2C">
        <w:rPr>
          <w:b/>
          <w:i/>
        </w:rPr>
        <w:t>: P</w:t>
      </w:r>
      <w:r w:rsidR="003F4E47">
        <w:rPr>
          <w:b/>
          <w:i/>
        </w:rPr>
        <w:t>odpořené p</w:t>
      </w:r>
      <w:r w:rsidRPr="007C1F2C">
        <w:rPr>
          <w:b/>
          <w:i/>
        </w:rPr>
        <w:t xml:space="preserve">rojekty </w:t>
      </w:r>
      <w:r w:rsidR="003F4E47">
        <w:rPr>
          <w:b/>
          <w:i/>
        </w:rPr>
        <w:t>po</w:t>
      </w:r>
      <w:r w:rsidRPr="007C1F2C">
        <w:rPr>
          <w:b/>
          <w:i/>
        </w:rPr>
        <w:t xml:space="preserve">dle </w:t>
      </w:r>
      <w:r w:rsidR="00944EA8">
        <w:rPr>
          <w:b/>
          <w:i/>
        </w:rPr>
        <w:t>kraje</w:t>
      </w:r>
      <w:bookmarkEnd w:id="30"/>
      <w:r w:rsidR="003F4E47">
        <w:rPr>
          <w:b/>
          <w:i/>
        </w:rPr>
        <w:t xml:space="preserve"> příjemce</w:t>
      </w:r>
      <w:bookmarkEnd w:id="31"/>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1086"/>
        <w:gridCol w:w="757"/>
        <w:gridCol w:w="708"/>
        <w:gridCol w:w="708"/>
        <w:gridCol w:w="1087"/>
        <w:gridCol w:w="1087"/>
        <w:gridCol w:w="1087"/>
        <w:gridCol w:w="1087"/>
      </w:tblGrid>
      <w:tr w:rsidR="001C50C6" w:rsidRPr="007C1F2C" w14:paraId="4A1866A5" w14:textId="31AA19B3" w:rsidTr="0011699E">
        <w:trPr>
          <w:trHeight w:val="397"/>
        </w:trPr>
        <w:tc>
          <w:tcPr>
            <w:tcW w:w="2263" w:type="dxa"/>
            <w:shd w:val="clear" w:color="auto" w:fill="B9E0F7" w:themeFill="accent5"/>
            <w:noWrap/>
            <w:vAlign w:val="bottom"/>
          </w:tcPr>
          <w:p w14:paraId="21BF1622" w14:textId="462E4C3B" w:rsidR="001C50C6" w:rsidRPr="007C1F2C" w:rsidRDefault="001C50C6" w:rsidP="007C1F2C">
            <w:pPr>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Kraj</w:t>
            </w:r>
            <w:r w:rsidR="00353A80">
              <w:rPr>
                <w:rFonts w:ascii="Calibri" w:eastAsia="Times New Roman" w:hAnsi="Calibri" w:cs="Times New Roman"/>
                <w:color w:val="000000"/>
                <w:lang w:eastAsia="cs-CZ"/>
              </w:rPr>
              <w:t xml:space="preserve"> – sídlo příjemce</w:t>
            </w:r>
          </w:p>
        </w:tc>
        <w:tc>
          <w:tcPr>
            <w:tcW w:w="1086" w:type="dxa"/>
            <w:shd w:val="clear" w:color="auto" w:fill="B9E0F7" w:themeFill="accent5"/>
            <w:vAlign w:val="center"/>
          </w:tcPr>
          <w:p w14:paraId="3AC0DD89"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Počet projektů</w:t>
            </w:r>
          </w:p>
        </w:tc>
        <w:tc>
          <w:tcPr>
            <w:tcW w:w="757" w:type="dxa"/>
            <w:shd w:val="clear" w:color="auto" w:fill="B9E0F7" w:themeFill="accent5"/>
            <w:vAlign w:val="center"/>
          </w:tcPr>
          <w:p w14:paraId="13FF99AE"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MP</w:t>
            </w:r>
          </w:p>
        </w:tc>
        <w:tc>
          <w:tcPr>
            <w:tcW w:w="708" w:type="dxa"/>
            <w:shd w:val="clear" w:color="auto" w:fill="B9E0F7" w:themeFill="accent5"/>
            <w:vAlign w:val="center"/>
          </w:tcPr>
          <w:p w14:paraId="4FB75192"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SP</w:t>
            </w:r>
          </w:p>
        </w:tc>
        <w:tc>
          <w:tcPr>
            <w:tcW w:w="708" w:type="dxa"/>
            <w:shd w:val="clear" w:color="auto" w:fill="B9E0F7" w:themeFill="accent5"/>
            <w:vAlign w:val="center"/>
          </w:tcPr>
          <w:p w14:paraId="46C13211"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VP</w:t>
            </w:r>
          </w:p>
        </w:tc>
        <w:tc>
          <w:tcPr>
            <w:tcW w:w="1087" w:type="dxa"/>
            <w:shd w:val="clear" w:color="auto" w:fill="B9E0F7" w:themeFill="accent5"/>
            <w:vAlign w:val="center"/>
          </w:tcPr>
          <w:p w14:paraId="7CAAA2D2"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Výše dotace (mil. Kč)</w:t>
            </w:r>
          </w:p>
        </w:tc>
        <w:tc>
          <w:tcPr>
            <w:tcW w:w="1087" w:type="dxa"/>
            <w:shd w:val="clear" w:color="auto" w:fill="B9E0F7" w:themeFill="accent5"/>
            <w:vAlign w:val="center"/>
          </w:tcPr>
          <w:p w14:paraId="39353AAA" w14:textId="77777777" w:rsidR="001C50C6" w:rsidRPr="007C1F2C" w:rsidRDefault="001C50C6" w:rsidP="007C1F2C">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Náklady (mil. Kč)</w:t>
            </w:r>
          </w:p>
        </w:tc>
        <w:tc>
          <w:tcPr>
            <w:tcW w:w="1087" w:type="dxa"/>
            <w:shd w:val="clear" w:color="auto" w:fill="B9E0F7" w:themeFill="accent5"/>
          </w:tcPr>
          <w:p w14:paraId="42BCDBF6" w14:textId="2598B3D1" w:rsidR="001C50C6" w:rsidRPr="001C50C6" w:rsidRDefault="001C50C6" w:rsidP="007C1F2C">
            <w:pPr>
              <w:spacing w:after="0" w:line="240" w:lineRule="auto"/>
              <w:jc w:val="center"/>
              <w:rPr>
                <w:rFonts w:ascii="Calibri" w:eastAsia="Times New Roman" w:hAnsi="Calibri" w:cs="Times New Roman"/>
                <w:color w:val="000000"/>
                <w:lang w:eastAsia="cs-CZ"/>
              </w:rPr>
            </w:pPr>
            <w:r w:rsidRPr="001C50C6">
              <w:rPr>
                <w:rFonts w:ascii="Calibri" w:eastAsia="Times New Roman" w:hAnsi="Calibri" w:cs="Times New Roman"/>
                <w:color w:val="000000"/>
                <w:lang w:eastAsia="cs-CZ"/>
              </w:rPr>
              <w:t>Počet žádostí</w:t>
            </w:r>
          </w:p>
        </w:tc>
        <w:tc>
          <w:tcPr>
            <w:tcW w:w="1087" w:type="dxa"/>
            <w:shd w:val="clear" w:color="auto" w:fill="B9E0F7" w:themeFill="accent5"/>
          </w:tcPr>
          <w:p w14:paraId="65A8AF48" w14:textId="6FF88160" w:rsidR="001C50C6" w:rsidRPr="001C50C6" w:rsidRDefault="001C50C6" w:rsidP="007C1F2C">
            <w:pPr>
              <w:spacing w:after="0" w:line="240" w:lineRule="auto"/>
              <w:jc w:val="center"/>
              <w:rPr>
                <w:rFonts w:ascii="Calibri" w:eastAsia="Times New Roman" w:hAnsi="Calibri" w:cs="Times New Roman"/>
                <w:color w:val="000000"/>
                <w:lang w:eastAsia="cs-CZ"/>
              </w:rPr>
            </w:pPr>
            <w:r w:rsidRPr="001C50C6">
              <w:rPr>
                <w:rFonts w:ascii="Calibri" w:eastAsia="Times New Roman" w:hAnsi="Calibri" w:cs="Times New Roman"/>
                <w:color w:val="000000"/>
                <w:lang w:eastAsia="cs-CZ"/>
              </w:rPr>
              <w:t>Úspěšnost žádostí</w:t>
            </w:r>
          </w:p>
        </w:tc>
      </w:tr>
      <w:tr w:rsidR="00400F30" w:rsidRPr="007C1F2C" w14:paraId="4EADA305" w14:textId="13595365" w:rsidTr="0011699E">
        <w:trPr>
          <w:trHeight w:val="340"/>
        </w:trPr>
        <w:tc>
          <w:tcPr>
            <w:tcW w:w="2263" w:type="dxa"/>
            <w:shd w:val="clear" w:color="auto" w:fill="auto"/>
            <w:noWrap/>
            <w:vAlign w:val="center"/>
          </w:tcPr>
          <w:p w14:paraId="2526AE72" w14:textId="0EC88C1A"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Hlavní město Praha</w:t>
            </w:r>
          </w:p>
        </w:tc>
        <w:tc>
          <w:tcPr>
            <w:tcW w:w="1086" w:type="dxa"/>
            <w:shd w:val="clear" w:color="auto" w:fill="auto"/>
            <w:vAlign w:val="center"/>
          </w:tcPr>
          <w:p w14:paraId="57FF1179" w14:textId="71254322"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17</w:t>
            </w:r>
            <w:r w:rsidR="007458C7">
              <w:rPr>
                <w:rFonts w:ascii="Calibri" w:hAnsi="Calibri" w:cs="Calibri"/>
                <w:color w:val="000000"/>
              </w:rPr>
              <w:t>5</w:t>
            </w:r>
          </w:p>
        </w:tc>
        <w:tc>
          <w:tcPr>
            <w:tcW w:w="757" w:type="dxa"/>
            <w:shd w:val="clear" w:color="auto" w:fill="auto"/>
            <w:vAlign w:val="center"/>
          </w:tcPr>
          <w:p w14:paraId="6F4E226D" w14:textId="3D8D5BC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9</w:t>
            </w:r>
            <w:r w:rsidR="007458C7">
              <w:rPr>
                <w:rFonts w:ascii="Calibri" w:hAnsi="Calibri" w:cs="Calibri"/>
                <w:color w:val="000000"/>
              </w:rPr>
              <w:t>7</w:t>
            </w:r>
          </w:p>
        </w:tc>
        <w:tc>
          <w:tcPr>
            <w:tcW w:w="708" w:type="dxa"/>
            <w:shd w:val="clear" w:color="auto" w:fill="auto"/>
            <w:vAlign w:val="center"/>
          </w:tcPr>
          <w:p w14:paraId="238B96C7" w14:textId="73068E79"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w:t>
            </w:r>
            <w:r w:rsidR="007458C7">
              <w:rPr>
                <w:rFonts w:ascii="Calibri" w:hAnsi="Calibri" w:cs="Calibri"/>
                <w:color w:val="000000"/>
              </w:rPr>
              <w:t>6</w:t>
            </w:r>
          </w:p>
        </w:tc>
        <w:tc>
          <w:tcPr>
            <w:tcW w:w="708" w:type="dxa"/>
            <w:shd w:val="clear" w:color="auto" w:fill="auto"/>
            <w:vAlign w:val="center"/>
          </w:tcPr>
          <w:p w14:paraId="3D24086A" w14:textId="6D3D851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32</w:t>
            </w:r>
          </w:p>
        </w:tc>
        <w:tc>
          <w:tcPr>
            <w:tcW w:w="1087" w:type="dxa"/>
            <w:shd w:val="clear" w:color="auto" w:fill="auto"/>
            <w:vAlign w:val="center"/>
          </w:tcPr>
          <w:p w14:paraId="2A63A639" w14:textId="5D94A61A"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r w:rsidR="0011699E">
              <w:rPr>
                <w:rFonts w:ascii="Calibri" w:hAnsi="Calibri" w:cs="Calibri"/>
                <w:color w:val="000000"/>
              </w:rPr>
              <w:t xml:space="preserve"> </w:t>
            </w:r>
            <w:r w:rsidR="007458C7">
              <w:rPr>
                <w:rFonts w:ascii="Calibri" w:hAnsi="Calibri" w:cs="Calibri"/>
                <w:color w:val="000000"/>
              </w:rPr>
              <w:t>535</w:t>
            </w:r>
          </w:p>
        </w:tc>
        <w:tc>
          <w:tcPr>
            <w:tcW w:w="1087" w:type="dxa"/>
            <w:shd w:val="clear" w:color="auto" w:fill="auto"/>
            <w:vAlign w:val="center"/>
          </w:tcPr>
          <w:p w14:paraId="4BEC98C5" w14:textId="2AB50DE3"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r w:rsidR="0011699E">
              <w:rPr>
                <w:rFonts w:ascii="Calibri" w:hAnsi="Calibri" w:cs="Calibri"/>
                <w:color w:val="000000"/>
              </w:rPr>
              <w:t xml:space="preserve"> </w:t>
            </w:r>
            <w:r w:rsidR="007458C7">
              <w:rPr>
                <w:rFonts w:ascii="Calibri" w:hAnsi="Calibri" w:cs="Calibri"/>
                <w:color w:val="000000"/>
              </w:rPr>
              <w:t>839</w:t>
            </w:r>
          </w:p>
        </w:tc>
        <w:tc>
          <w:tcPr>
            <w:tcW w:w="1087" w:type="dxa"/>
            <w:vAlign w:val="center"/>
          </w:tcPr>
          <w:p w14:paraId="16EBE96D" w14:textId="176FF900"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680</w:t>
            </w:r>
          </w:p>
        </w:tc>
        <w:tc>
          <w:tcPr>
            <w:tcW w:w="1087" w:type="dxa"/>
            <w:vAlign w:val="center"/>
          </w:tcPr>
          <w:p w14:paraId="64E1154B" w14:textId="7EE27A27"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2</w:t>
            </w:r>
            <w:r w:rsidR="0099366D">
              <w:rPr>
                <w:rFonts w:ascii="Calibri" w:hAnsi="Calibri" w:cs="Calibri"/>
                <w:color w:val="000000"/>
              </w:rPr>
              <w:t>6</w:t>
            </w:r>
            <w:r w:rsidR="00887A58" w:rsidRPr="00E03732">
              <w:rPr>
                <w:rFonts w:ascii="Calibri" w:hAnsi="Calibri" w:cs="Calibri"/>
                <w:color w:val="000000"/>
              </w:rPr>
              <w:t xml:space="preserve"> </w:t>
            </w:r>
            <w:r w:rsidRPr="00E03732">
              <w:rPr>
                <w:rFonts w:ascii="Calibri" w:hAnsi="Calibri" w:cs="Calibri"/>
                <w:color w:val="000000"/>
              </w:rPr>
              <w:t>%</w:t>
            </w:r>
          </w:p>
        </w:tc>
      </w:tr>
      <w:tr w:rsidR="00400F30" w:rsidRPr="007C1F2C" w14:paraId="5C5DDF91" w14:textId="29FAC2A7" w:rsidTr="0011699E">
        <w:trPr>
          <w:trHeight w:val="340"/>
        </w:trPr>
        <w:tc>
          <w:tcPr>
            <w:tcW w:w="2263" w:type="dxa"/>
            <w:shd w:val="clear" w:color="auto" w:fill="auto"/>
            <w:noWrap/>
            <w:vAlign w:val="center"/>
          </w:tcPr>
          <w:p w14:paraId="7653CE68" w14:textId="3A0357D3"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Jihomoravský</w:t>
            </w:r>
            <w:r w:rsidR="008519CC">
              <w:rPr>
                <w:rFonts w:ascii="Calibri" w:hAnsi="Calibri" w:cs="Calibri"/>
                <w:color w:val="000000"/>
              </w:rPr>
              <w:t xml:space="preserve"> kraj</w:t>
            </w:r>
          </w:p>
        </w:tc>
        <w:tc>
          <w:tcPr>
            <w:tcW w:w="1086" w:type="dxa"/>
            <w:shd w:val="clear" w:color="auto" w:fill="auto"/>
            <w:vAlign w:val="center"/>
          </w:tcPr>
          <w:p w14:paraId="08225296" w14:textId="51752F51"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15</w:t>
            </w:r>
            <w:r w:rsidR="007458C7">
              <w:rPr>
                <w:rFonts w:ascii="Calibri" w:hAnsi="Calibri" w:cs="Calibri"/>
                <w:color w:val="000000"/>
              </w:rPr>
              <w:t>8</w:t>
            </w:r>
          </w:p>
        </w:tc>
        <w:tc>
          <w:tcPr>
            <w:tcW w:w="757" w:type="dxa"/>
            <w:shd w:val="clear" w:color="auto" w:fill="auto"/>
            <w:vAlign w:val="center"/>
          </w:tcPr>
          <w:p w14:paraId="27C70010" w14:textId="17A507BA"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9</w:t>
            </w:r>
            <w:r w:rsidR="007458C7">
              <w:rPr>
                <w:rFonts w:ascii="Calibri" w:hAnsi="Calibri" w:cs="Calibri"/>
                <w:color w:val="000000"/>
              </w:rPr>
              <w:t>4</w:t>
            </w:r>
          </w:p>
        </w:tc>
        <w:tc>
          <w:tcPr>
            <w:tcW w:w="708" w:type="dxa"/>
            <w:shd w:val="clear" w:color="auto" w:fill="auto"/>
            <w:vAlign w:val="center"/>
          </w:tcPr>
          <w:p w14:paraId="185A28CD" w14:textId="0AF18CF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26</w:t>
            </w:r>
          </w:p>
        </w:tc>
        <w:tc>
          <w:tcPr>
            <w:tcW w:w="708" w:type="dxa"/>
            <w:shd w:val="clear" w:color="auto" w:fill="auto"/>
            <w:vAlign w:val="center"/>
          </w:tcPr>
          <w:p w14:paraId="55DC02C8" w14:textId="67CE408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38</w:t>
            </w:r>
          </w:p>
        </w:tc>
        <w:tc>
          <w:tcPr>
            <w:tcW w:w="1087" w:type="dxa"/>
            <w:shd w:val="clear" w:color="auto" w:fill="auto"/>
            <w:vAlign w:val="center"/>
          </w:tcPr>
          <w:p w14:paraId="7463A957" w14:textId="3126211F"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r w:rsidR="0011699E">
              <w:rPr>
                <w:rFonts w:ascii="Calibri" w:hAnsi="Calibri" w:cs="Calibri"/>
                <w:color w:val="000000"/>
              </w:rPr>
              <w:t xml:space="preserve"> </w:t>
            </w:r>
            <w:r w:rsidR="007458C7">
              <w:rPr>
                <w:rFonts w:ascii="Calibri" w:hAnsi="Calibri" w:cs="Calibri"/>
                <w:color w:val="000000"/>
              </w:rPr>
              <w:t>403</w:t>
            </w:r>
          </w:p>
        </w:tc>
        <w:tc>
          <w:tcPr>
            <w:tcW w:w="1087" w:type="dxa"/>
            <w:shd w:val="clear" w:color="auto" w:fill="auto"/>
            <w:vAlign w:val="center"/>
          </w:tcPr>
          <w:p w14:paraId="2E646405" w14:textId="1ED15EBB"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r w:rsidR="0011699E">
              <w:rPr>
                <w:rFonts w:ascii="Calibri" w:hAnsi="Calibri" w:cs="Calibri"/>
                <w:color w:val="000000"/>
              </w:rPr>
              <w:t xml:space="preserve"> </w:t>
            </w:r>
            <w:r w:rsidR="007458C7">
              <w:rPr>
                <w:rFonts w:ascii="Calibri" w:hAnsi="Calibri" w:cs="Calibri"/>
                <w:color w:val="000000"/>
              </w:rPr>
              <w:t>667</w:t>
            </w:r>
          </w:p>
        </w:tc>
        <w:tc>
          <w:tcPr>
            <w:tcW w:w="1087" w:type="dxa"/>
            <w:vAlign w:val="center"/>
          </w:tcPr>
          <w:p w14:paraId="498C2E65" w14:textId="772FC6FE"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474</w:t>
            </w:r>
          </w:p>
        </w:tc>
        <w:tc>
          <w:tcPr>
            <w:tcW w:w="1087" w:type="dxa"/>
            <w:vAlign w:val="center"/>
          </w:tcPr>
          <w:p w14:paraId="140A436F" w14:textId="48770B06"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33</w:t>
            </w:r>
            <w:r w:rsidR="00887A58" w:rsidRPr="00E03732">
              <w:rPr>
                <w:rFonts w:ascii="Calibri" w:hAnsi="Calibri" w:cs="Calibri"/>
                <w:color w:val="000000"/>
              </w:rPr>
              <w:t xml:space="preserve"> </w:t>
            </w:r>
            <w:r w:rsidRPr="00E03732">
              <w:rPr>
                <w:rFonts w:ascii="Calibri" w:hAnsi="Calibri" w:cs="Calibri"/>
                <w:color w:val="000000"/>
              </w:rPr>
              <w:t>%</w:t>
            </w:r>
          </w:p>
        </w:tc>
      </w:tr>
      <w:tr w:rsidR="000E1FA4" w:rsidRPr="007C1F2C" w14:paraId="080748B8" w14:textId="68C9A6BB" w:rsidTr="0011699E">
        <w:trPr>
          <w:trHeight w:val="340"/>
        </w:trPr>
        <w:tc>
          <w:tcPr>
            <w:tcW w:w="2263" w:type="dxa"/>
            <w:shd w:val="clear" w:color="auto" w:fill="auto"/>
            <w:noWrap/>
            <w:vAlign w:val="center"/>
          </w:tcPr>
          <w:p w14:paraId="23455E6B" w14:textId="51699026" w:rsidR="000E1FA4" w:rsidRPr="007C1F2C" w:rsidRDefault="000E1FA4" w:rsidP="000E1FA4">
            <w:pPr>
              <w:spacing w:after="0" w:line="240" w:lineRule="auto"/>
              <w:rPr>
                <w:rFonts w:ascii="Calibri" w:eastAsia="Times New Roman" w:hAnsi="Calibri" w:cs="Times New Roman"/>
                <w:color w:val="000000"/>
                <w:lang w:eastAsia="cs-CZ"/>
              </w:rPr>
            </w:pPr>
            <w:r>
              <w:rPr>
                <w:rFonts w:ascii="Calibri" w:hAnsi="Calibri" w:cs="Calibri"/>
                <w:color w:val="000000"/>
              </w:rPr>
              <w:t>Moravskoslezský kraj</w:t>
            </w:r>
          </w:p>
        </w:tc>
        <w:tc>
          <w:tcPr>
            <w:tcW w:w="1086" w:type="dxa"/>
            <w:shd w:val="clear" w:color="auto" w:fill="auto"/>
            <w:vAlign w:val="center"/>
          </w:tcPr>
          <w:p w14:paraId="3743ECEA" w14:textId="59CBF079"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56</w:t>
            </w:r>
          </w:p>
        </w:tc>
        <w:tc>
          <w:tcPr>
            <w:tcW w:w="757" w:type="dxa"/>
            <w:shd w:val="clear" w:color="auto" w:fill="auto"/>
            <w:vAlign w:val="center"/>
          </w:tcPr>
          <w:p w14:paraId="43E48FC5" w14:textId="7FD536A8"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28</w:t>
            </w:r>
          </w:p>
        </w:tc>
        <w:tc>
          <w:tcPr>
            <w:tcW w:w="708" w:type="dxa"/>
            <w:shd w:val="clear" w:color="auto" w:fill="auto"/>
            <w:vAlign w:val="center"/>
          </w:tcPr>
          <w:p w14:paraId="326C4C56" w14:textId="319ED008"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14</w:t>
            </w:r>
          </w:p>
        </w:tc>
        <w:tc>
          <w:tcPr>
            <w:tcW w:w="708" w:type="dxa"/>
            <w:shd w:val="clear" w:color="auto" w:fill="auto"/>
            <w:vAlign w:val="center"/>
          </w:tcPr>
          <w:p w14:paraId="7FB95BED" w14:textId="349F8645"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14</w:t>
            </w:r>
          </w:p>
        </w:tc>
        <w:tc>
          <w:tcPr>
            <w:tcW w:w="1087" w:type="dxa"/>
            <w:shd w:val="clear" w:color="auto" w:fill="auto"/>
            <w:vAlign w:val="center"/>
          </w:tcPr>
          <w:p w14:paraId="05088764" w14:textId="66EEC3DB"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861</w:t>
            </w:r>
          </w:p>
        </w:tc>
        <w:tc>
          <w:tcPr>
            <w:tcW w:w="1087" w:type="dxa"/>
            <w:shd w:val="clear" w:color="auto" w:fill="auto"/>
            <w:vAlign w:val="center"/>
          </w:tcPr>
          <w:p w14:paraId="333EB735" w14:textId="70DC8AA3"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1 343</w:t>
            </w:r>
          </w:p>
        </w:tc>
        <w:tc>
          <w:tcPr>
            <w:tcW w:w="1087" w:type="dxa"/>
            <w:shd w:val="clear" w:color="auto" w:fill="auto"/>
            <w:vAlign w:val="center"/>
          </w:tcPr>
          <w:p w14:paraId="2C85C863" w14:textId="57BF8680" w:rsidR="000E1FA4" w:rsidRPr="00E03732" w:rsidRDefault="000E1FA4" w:rsidP="000E1FA4">
            <w:pPr>
              <w:spacing w:after="0" w:line="240" w:lineRule="auto"/>
              <w:jc w:val="right"/>
              <w:rPr>
                <w:rFonts w:ascii="Calibri" w:hAnsi="Calibri" w:cs="Calibri"/>
                <w:color w:val="000000"/>
              </w:rPr>
            </w:pPr>
            <w:r w:rsidRPr="00E03732">
              <w:rPr>
                <w:rFonts w:ascii="Calibri" w:hAnsi="Calibri" w:cs="Calibri"/>
                <w:color w:val="000000"/>
              </w:rPr>
              <w:t>185</w:t>
            </w:r>
          </w:p>
        </w:tc>
        <w:tc>
          <w:tcPr>
            <w:tcW w:w="1087" w:type="dxa"/>
            <w:shd w:val="clear" w:color="auto" w:fill="auto"/>
            <w:vAlign w:val="center"/>
          </w:tcPr>
          <w:p w14:paraId="1B0E309F" w14:textId="65AE588F" w:rsidR="000E1FA4" w:rsidRPr="00E03732" w:rsidRDefault="000E1FA4" w:rsidP="000E1FA4">
            <w:pPr>
              <w:spacing w:after="0" w:line="240" w:lineRule="auto"/>
              <w:jc w:val="right"/>
              <w:rPr>
                <w:rFonts w:ascii="Calibri" w:hAnsi="Calibri" w:cs="Calibri"/>
                <w:color w:val="000000"/>
                <w:sz w:val="20"/>
                <w:szCs w:val="20"/>
              </w:rPr>
            </w:pPr>
            <w:r>
              <w:rPr>
                <w:rFonts w:ascii="Calibri" w:hAnsi="Calibri" w:cs="Calibri"/>
                <w:color w:val="000000"/>
              </w:rPr>
              <w:t>30</w:t>
            </w:r>
            <w:r w:rsidRPr="00E03732">
              <w:rPr>
                <w:rFonts w:ascii="Calibri" w:hAnsi="Calibri" w:cs="Calibri"/>
                <w:color w:val="000000"/>
              </w:rPr>
              <w:t xml:space="preserve"> %</w:t>
            </w:r>
          </w:p>
        </w:tc>
      </w:tr>
      <w:tr w:rsidR="000E1FA4" w:rsidRPr="007C1F2C" w14:paraId="58D23916" w14:textId="0A6C11B1" w:rsidTr="0011699E">
        <w:trPr>
          <w:trHeight w:val="340"/>
        </w:trPr>
        <w:tc>
          <w:tcPr>
            <w:tcW w:w="2263" w:type="dxa"/>
            <w:shd w:val="clear" w:color="auto" w:fill="auto"/>
            <w:noWrap/>
            <w:vAlign w:val="center"/>
          </w:tcPr>
          <w:p w14:paraId="1856B005" w14:textId="6C885537" w:rsidR="000E1FA4" w:rsidRPr="007C1F2C" w:rsidRDefault="000E1FA4" w:rsidP="000E1FA4">
            <w:pPr>
              <w:spacing w:after="0" w:line="240" w:lineRule="auto"/>
              <w:rPr>
                <w:rFonts w:ascii="Calibri" w:eastAsia="Times New Roman" w:hAnsi="Calibri" w:cs="Times New Roman"/>
                <w:color w:val="000000"/>
                <w:lang w:eastAsia="cs-CZ"/>
              </w:rPr>
            </w:pPr>
            <w:r>
              <w:rPr>
                <w:rFonts w:ascii="Calibri" w:hAnsi="Calibri" w:cs="Calibri"/>
                <w:color w:val="000000"/>
              </w:rPr>
              <w:t>Středočeský kraj</w:t>
            </w:r>
          </w:p>
        </w:tc>
        <w:tc>
          <w:tcPr>
            <w:tcW w:w="1086" w:type="dxa"/>
            <w:shd w:val="clear" w:color="auto" w:fill="auto"/>
            <w:vAlign w:val="center"/>
          </w:tcPr>
          <w:p w14:paraId="50AB6A56" w14:textId="453A1511"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55</w:t>
            </w:r>
          </w:p>
        </w:tc>
        <w:tc>
          <w:tcPr>
            <w:tcW w:w="757" w:type="dxa"/>
            <w:shd w:val="clear" w:color="auto" w:fill="auto"/>
            <w:vAlign w:val="center"/>
          </w:tcPr>
          <w:p w14:paraId="5B1B39C3" w14:textId="60471134"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30</w:t>
            </w:r>
          </w:p>
        </w:tc>
        <w:tc>
          <w:tcPr>
            <w:tcW w:w="708" w:type="dxa"/>
            <w:shd w:val="clear" w:color="auto" w:fill="auto"/>
            <w:vAlign w:val="center"/>
          </w:tcPr>
          <w:p w14:paraId="3E83C37C" w14:textId="216BE48A"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708" w:type="dxa"/>
            <w:shd w:val="clear" w:color="auto" w:fill="auto"/>
            <w:vAlign w:val="center"/>
          </w:tcPr>
          <w:p w14:paraId="5FEF3720" w14:textId="432B4425"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15</w:t>
            </w:r>
          </w:p>
        </w:tc>
        <w:tc>
          <w:tcPr>
            <w:tcW w:w="1087" w:type="dxa"/>
            <w:shd w:val="clear" w:color="auto" w:fill="auto"/>
            <w:vAlign w:val="center"/>
          </w:tcPr>
          <w:p w14:paraId="7722A09C" w14:textId="6DE21A41"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968</w:t>
            </w:r>
          </w:p>
        </w:tc>
        <w:tc>
          <w:tcPr>
            <w:tcW w:w="1087" w:type="dxa"/>
            <w:shd w:val="clear" w:color="auto" w:fill="auto"/>
            <w:vAlign w:val="center"/>
          </w:tcPr>
          <w:p w14:paraId="067886A6" w14:textId="16160F26" w:rsidR="000E1FA4" w:rsidRPr="007C1F2C" w:rsidRDefault="000E1FA4" w:rsidP="000E1FA4">
            <w:pPr>
              <w:spacing w:after="0" w:line="240" w:lineRule="auto"/>
              <w:jc w:val="right"/>
              <w:rPr>
                <w:rFonts w:ascii="Calibri" w:eastAsia="Times New Roman" w:hAnsi="Calibri" w:cs="Times New Roman"/>
                <w:color w:val="000000"/>
                <w:lang w:eastAsia="cs-CZ"/>
              </w:rPr>
            </w:pPr>
            <w:r>
              <w:rPr>
                <w:rFonts w:ascii="Calibri" w:hAnsi="Calibri" w:cs="Calibri"/>
                <w:color w:val="000000"/>
              </w:rPr>
              <w:t>1 442</w:t>
            </w:r>
          </w:p>
        </w:tc>
        <w:tc>
          <w:tcPr>
            <w:tcW w:w="1087" w:type="dxa"/>
            <w:shd w:val="clear" w:color="auto" w:fill="auto"/>
            <w:vAlign w:val="center"/>
          </w:tcPr>
          <w:p w14:paraId="00C118B4" w14:textId="674FEF0E" w:rsidR="000E1FA4" w:rsidRPr="00E03732" w:rsidRDefault="000E1FA4" w:rsidP="000E1FA4">
            <w:pPr>
              <w:spacing w:after="0" w:line="240" w:lineRule="auto"/>
              <w:jc w:val="right"/>
              <w:rPr>
                <w:rFonts w:ascii="Calibri" w:hAnsi="Calibri" w:cs="Calibri"/>
                <w:color w:val="000000"/>
              </w:rPr>
            </w:pPr>
            <w:r>
              <w:rPr>
                <w:rFonts w:ascii="Calibri" w:hAnsi="Calibri" w:cs="Calibri"/>
                <w:color w:val="000000"/>
              </w:rPr>
              <w:t>199</w:t>
            </w:r>
          </w:p>
        </w:tc>
        <w:tc>
          <w:tcPr>
            <w:tcW w:w="1087" w:type="dxa"/>
            <w:shd w:val="clear" w:color="auto" w:fill="auto"/>
            <w:vAlign w:val="center"/>
          </w:tcPr>
          <w:p w14:paraId="6EEF632D" w14:textId="49ABF2A6" w:rsidR="000E1FA4" w:rsidRPr="00E03732" w:rsidRDefault="000E1FA4" w:rsidP="000E1FA4">
            <w:pPr>
              <w:spacing w:after="0" w:line="240" w:lineRule="auto"/>
              <w:jc w:val="right"/>
              <w:rPr>
                <w:rFonts w:ascii="Calibri" w:hAnsi="Calibri" w:cs="Calibri"/>
                <w:color w:val="000000"/>
                <w:sz w:val="20"/>
                <w:szCs w:val="20"/>
              </w:rPr>
            </w:pPr>
            <w:r>
              <w:rPr>
                <w:rFonts w:ascii="Calibri" w:hAnsi="Calibri" w:cs="Calibri"/>
                <w:color w:val="000000"/>
              </w:rPr>
              <w:t>28</w:t>
            </w:r>
            <w:r w:rsidR="00C00C53">
              <w:rPr>
                <w:rFonts w:ascii="Calibri" w:hAnsi="Calibri" w:cs="Calibri"/>
                <w:color w:val="000000"/>
              </w:rPr>
              <w:t xml:space="preserve"> </w:t>
            </w:r>
            <w:r>
              <w:rPr>
                <w:rFonts w:ascii="Calibri" w:hAnsi="Calibri" w:cs="Calibri"/>
                <w:color w:val="000000"/>
              </w:rPr>
              <w:t>%</w:t>
            </w:r>
          </w:p>
        </w:tc>
      </w:tr>
      <w:tr w:rsidR="00400F30" w:rsidRPr="007C1F2C" w14:paraId="78470733" w14:textId="70BCB82B" w:rsidTr="0011699E">
        <w:trPr>
          <w:trHeight w:val="340"/>
        </w:trPr>
        <w:tc>
          <w:tcPr>
            <w:tcW w:w="2263" w:type="dxa"/>
            <w:shd w:val="clear" w:color="auto" w:fill="auto"/>
            <w:noWrap/>
            <w:vAlign w:val="center"/>
          </w:tcPr>
          <w:p w14:paraId="5C7A436C" w14:textId="6A2705F7"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Královéhradecký</w:t>
            </w:r>
            <w:r w:rsidR="008519CC">
              <w:rPr>
                <w:rFonts w:ascii="Calibri" w:hAnsi="Calibri" w:cs="Calibri"/>
                <w:color w:val="000000"/>
              </w:rPr>
              <w:t xml:space="preserve"> kraj</w:t>
            </w:r>
          </w:p>
        </w:tc>
        <w:tc>
          <w:tcPr>
            <w:tcW w:w="1086" w:type="dxa"/>
            <w:shd w:val="clear" w:color="auto" w:fill="auto"/>
            <w:vAlign w:val="center"/>
          </w:tcPr>
          <w:p w14:paraId="597975F4" w14:textId="205C89C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29</w:t>
            </w:r>
          </w:p>
        </w:tc>
        <w:tc>
          <w:tcPr>
            <w:tcW w:w="757" w:type="dxa"/>
            <w:shd w:val="clear" w:color="auto" w:fill="auto"/>
            <w:vAlign w:val="center"/>
          </w:tcPr>
          <w:p w14:paraId="23AEE4D0" w14:textId="66593C3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708" w:type="dxa"/>
            <w:shd w:val="clear" w:color="auto" w:fill="auto"/>
            <w:vAlign w:val="center"/>
          </w:tcPr>
          <w:p w14:paraId="078CCADF" w14:textId="0FDEB78A"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708" w:type="dxa"/>
            <w:shd w:val="clear" w:color="auto" w:fill="auto"/>
            <w:vAlign w:val="center"/>
          </w:tcPr>
          <w:p w14:paraId="3F4F6F2E" w14:textId="587A8922"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1087" w:type="dxa"/>
            <w:shd w:val="clear" w:color="auto" w:fill="auto"/>
            <w:vAlign w:val="center"/>
          </w:tcPr>
          <w:p w14:paraId="65690AF4" w14:textId="43078BA4"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438</w:t>
            </w:r>
          </w:p>
        </w:tc>
        <w:tc>
          <w:tcPr>
            <w:tcW w:w="1087" w:type="dxa"/>
            <w:shd w:val="clear" w:color="auto" w:fill="auto"/>
            <w:vAlign w:val="center"/>
          </w:tcPr>
          <w:p w14:paraId="09D62B47" w14:textId="23A31AFD"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68</w:t>
            </w:r>
            <w:r w:rsidR="007458C7">
              <w:rPr>
                <w:rFonts w:ascii="Calibri" w:hAnsi="Calibri" w:cs="Calibri"/>
                <w:color w:val="000000"/>
              </w:rPr>
              <w:t>0</w:t>
            </w:r>
          </w:p>
        </w:tc>
        <w:tc>
          <w:tcPr>
            <w:tcW w:w="1087" w:type="dxa"/>
            <w:shd w:val="clear" w:color="auto" w:fill="auto"/>
            <w:vAlign w:val="center"/>
          </w:tcPr>
          <w:p w14:paraId="6A22EDF1" w14:textId="5CB557E2"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83</w:t>
            </w:r>
          </w:p>
        </w:tc>
        <w:tc>
          <w:tcPr>
            <w:tcW w:w="1087" w:type="dxa"/>
            <w:shd w:val="clear" w:color="auto" w:fill="auto"/>
            <w:vAlign w:val="center"/>
          </w:tcPr>
          <w:p w14:paraId="12F24F85" w14:textId="6E36DC40"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35 %</w:t>
            </w:r>
          </w:p>
        </w:tc>
      </w:tr>
      <w:tr w:rsidR="00A56DA4" w:rsidRPr="007C1F2C" w14:paraId="6D75BC20" w14:textId="74E16B91" w:rsidTr="0011699E">
        <w:trPr>
          <w:trHeight w:val="340"/>
        </w:trPr>
        <w:tc>
          <w:tcPr>
            <w:tcW w:w="2263" w:type="dxa"/>
            <w:shd w:val="clear" w:color="auto" w:fill="auto"/>
            <w:noWrap/>
            <w:vAlign w:val="center"/>
          </w:tcPr>
          <w:p w14:paraId="57EC2982" w14:textId="434F2E7B" w:rsidR="00A56DA4" w:rsidRPr="007C1F2C" w:rsidRDefault="00A56DA4" w:rsidP="00A56DA4">
            <w:pPr>
              <w:spacing w:after="0" w:line="240" w:lineRule="auto"/>
              <w:rPr>
                <w:rFonts w:ascii="Calibri" w:eastAsia="Times New Roman" w:hAnsi="Calibri" w:cs="Times New Roman"/>
                <w:color w:val="000000"/>
                <w:lang w:eastAsia="cs-CZ"/>
              </w:rPr>
            </w:pPr>
            <w:r>
              <w:rPr>
                <w:rFonts w:ascii="Calibri" w:hAnsi="Calibri" w:cs="Calibri"/>
                <w:color w:val="000000"/>
              </w:rPr>
              <w:t>Pardubický kraj</w:t>
            </w:r>
          </w:p>
        </w:tc>
        <w:tc>
          <w:tcPr>
            <w:tcW w:w="1086" w:type="dxa"/>
            <w:shd w:val="clear" w:color="auto" w:fill="auto"/>
            <w:vAlign w:val="center"/>
          </w:tcPr>
          <w:p w14:paraId="1A015558" w14:textId="4FB704F7"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29</w:t>
            </w:r>
          </w:p>
        </w:tc>
        <w:tc>
          <w:tcPr>
            <w:tcW w:w="757" w:type="dxa"/>
            <w:shd w:val="clear" w:color="auto" w:fill="auto"/>
            <w:vAlign w:val="center"/>
          </w:tcPr>
          <w:p w14:paraId="4033C0C6" w14:textId="3B46613B"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708" w:type="dxa"/>
            <w:shd w:val="clear" w:color="auto" w:fill="auto"/>
            <w:vAlign w:val="center"/>
          </w:tcPr>
          <w:p w14:paraId="1C77416D" w14:textId="160CE4AF"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708" w:type="dxa"/>
            <w:shd w:val="clear" w:color="auto" w:fill="auto"/>
            <w:vAlign w:val="center"/>
          </w:tcPr>
          <w:p w14:paraId="2615AFBE" w14:textId="07ADD5A9"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1087" w:type="dxa"/>
            <w:shd w:val="clear" w:color="auto" w:fill="auto"/>
            <w:vAlign w:val="center"/>
          </w:tcPr>
          <w:p w14:paraId="2903C7E5" w14:textId="32EA5DD5"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395</w:t>
            </w:r>
          </w:p>
        </w:tc>
        <w:tc>
          <w:tcPr>
            <w:tcW w:w="1087" w:type="dxa"/>
            <w:shd w:val="clear" w:color="auto" w:fill="auto"/>
            <w:vAlign w:val="center"/>
          </w:tcPr>
          <w:p w14:paraId="111854B1" w14:textId="641E7903"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635</w:t>
            </w:r>
          </w:p>
        </w:tc>
        <w:tc>
          <w:tcPr>
            <w:tcW w:w="1087" w:type="dxa"/>
            <w:shd w:val="clear" w:color="auto" w:fill="auto"/>
            <w:vAlign w:val="center"/>
          </w:tcPr>
          <w:p w14:paraId="33A81A72" w14:textId="0015509E" w:rsidR="00A56DA4" w:rsidRPr="00E03732" w:rsidRDefault="00A56DA4" w:rsidP="00A56DA4">
            <w:pPr>
              <w:spacing w:after="0" w:line="240" w:lineRule="auto"/>
              <w:jc w:val="right"/>
              <w:rPr>
                <w:rFonts w:ascii="Calibri" w:hAnsi="Calibri" w:cs="Calibri"/>
                <w:color w:val="000000"/>
              </w:rPr>
            </w:pPr>
            <w:r>
              <w:rPr>
                <w:rFonts w:ascii="Calibri" w:hAnsi="Calibri" w:cs="Calibri"/>
                <w:color w:val="000000"/>
              </w:rPr>
              <w:t>79</w:t>
            </w:r>
          </w:p>
        </w:tc>
        <w:tc>
          <w:tcPr>
            <w:tcW w:w="1087" w:type="dxa"/>
            <w:shd w:val="clear" w:color="auto" w:fill="auto"/>
            <w:vAlign w:val="center"/>
          </w:tcPr>
          <w:p w14:paraId="06E89A1B" w14:textId="43A596C1" w:rsidR="00A56DA4" w:rsidRPr="00E03732" w:rsidRDefault="00A56DA4" w:rsidP="00A56DA4">
            <w:pPr>
              <w:spacing w:after="0" w:line="240" w:lineRule="auto"/>
              <w:jc w:val="right"/>
              <w:rPr>
                <w:rFonts w:ascii="Calibri" w:hAnsi="Calibri" w:cs="Calibri"/>
                <w:color w:val="000000"/>
              </w:rPr>
            </w:pPr>
            <w:r>
              <w:rPr>
                <w:rFonts w:ascii="Calibri" w:hAnsi="Calibri" w:cs="Calibri"/>
                <w:color w:val="000000"/>
              </w:rPr>
              <w:t>37</w:t>
            </w:r>
            <w:r w:rsidR="00AB4A9C">
              <w:rPr>
                <w:rFonts w:ascii="Calibri" w:hAnsi="Calibri" w:cs="Calibri"/>
                <w:color w:val="000000"/>
              </w:rPr>
              <w:t xml:space="preserve"> </w:t>
            </w:r>
            <w:r>
              <w:rPr>
                <w:rFonts w:ascii="Calibri" w:hAnsi="Calibri" w:cs="Calibri"/>
                <w:color w:val="000000"/>
              </w:rPr>
              <w:t>%</w:t>
            </w:r>
          </w:p>
        </w:tc>
      </w:tr>
      <w:tr w:rsidR="00A56DA4" w:rsidRPr="007C1F2C" w14:paraId="1BB6973B" w14:textId="246CBE2D" w:rsidTr="0011699E">
        <w:trPr>
          <w:trHeight w:val="340"/>
        </w:trPr>
        <w:tc>
          <w:tcPr>
            <w:tcW w:w="2263" w:type="dxa"/>
            <w:shd w:val="clear" w:color="auto" w:fill="auto"/>
            <w:noWrap/>
            <w:vAlign w:val="center"/>
          </w:tcPr>
          <w:p w14:paraId="58BF0FCF" w14:textId="5CAD1950" w:rsidR="00A56DA4" w:rsidRPr="007C1F2C" w:rsidRDefault="00A56DA4" w:rsidP="00A56DA4">
            <w:pPr>
              <w:spacing w:after="0" w:line="240" w:lineRule="auto"/>
              <w:rPr>
                <w:rFonts w:ascii="Calibri" w:eastAsia="Times New Roman" w:hAnsi="Calibri" w:cs="Times New Roman"/>
                <w:color w:val="000000"/>
                <w:lang w:eastAsia="cs-CZ"/>
              </w:rPr>
            </w:pPr>
            <w:r>
              <w:rPr>
                <w:rFonts w:ascii="Calibri" w:hAnsi="Calibri" w:cs="Calibri"/>
                <w:color w:val="000000"/>
              </w:rPr>
              <w:t>Ústecký kraj</w:t>
            </w:r>
          </w:p>
        </w:tc>
        <w:tc>
          <w:tcPr>
            <w:tcW w:w="1086" w:type="dxa"/>
            <w:shd w:val="clear" w:color="auto" w:fill="auto"/>
            <w:vAlign w:val="center"/>
          </w:tcPr>
          <w:p w14:paraId="34CE5F87" w14:textId="5925F0CA"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28</w:t>
            </w:r>
          </w:p>
        </w:tc>
        <w:tc>
          <w:tcPr>
            <w:tcW w:w="757" w:type="dxa"/>
            <w:shd w:val="clear" w:color="auto" w:fill="auto"/>
            <w:vAlign w:val="center"/>
          </w:tcPr>
          <w:p w14:paraId="6C338406" w14:textId="7044DB88"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708" w:type="dxa"/>
            <w:shd w:val="clear" w:color="auto" w:fill="auto"/>
            <w:vAlign w:val="center"/>
          </w:tcPr>
          <w:p w14:paraId="0F5CCD0C" w14:textId="1CA6F3E8"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5</w:t>
            </w:r>
          </w:p>
        </w:tc>
        <w:tc>
          <w:tcPr>
            <w:tcW w:w="708" w:type="dxa"/>
            <w:shd w:val="clear" w:color="auto" w:fill="auto"/>
            <w:vAlign w:val="center"/>
          </w:tcPr>
          <w:p w14:paraId="76330A5E" w14:textId="4BE7DCBA"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13</w:t>
            </w:r>
          </w:p>
        </w:tc>
        <w:tc>
          <w:tcPr>
            <w:tcW w:w="1087" w:type="dxa"/>
            <w:shd w:val="clear" w:color="auto" w:fill="auto"/>
            <w:vAlign w:val="center"/>
          </w:tcPr>
          <w:p w14:paraId="1F219D27" w14:textId="71620175"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523</w:t>
            </w:r>
          </w:p>
        </w:tc>
        <w:tc>
          <w:tcPr>
            <w:tcW w:w="1087" w:type="dxa"/>
            <w:shd w:val="clear" w:color="auto" w:fill="auto"/>
            <w:vAlign w:val="center"/>
          </w:tcPr>
          <w:p w14:paraId="6796B54F" w14:textId="1AD79CAE" w:rsidR="00A56DA4" w:rsidRPr="007C1F2C" w:rsidRDefault="00A56DA4" w:rsidP="00A56DA4">
            <w:pPr>
              <w:spacing w:after="0" w:line="240" w:lineRule="auto"/>
              <w:jc w:val="right"/>
              <w:rPr>
                <w:rFonts w:ascii="Calibri" w:eastAsia="Times New Roman" w:hAnsi="Calibri" w:cs="Times New Roman"/>
                <w:color w:val="000000"/>
                <w:lang w:eastAsia="cs-CZ"/>
              </w:rPr>
            </w:pPr>
            <w:r>
              <w:rPr>
                <w:rFonts w:ascii="Calibri" w:hAnsi="Calibri" w:cs="Calibri"/>
                <w:color w:val="000000"/>
              </w:rPr>
              <w:t>782</w:t>
            </w:r>
          </w:p>
        </w:tc>
        <w:tc>
          <w:tcPr>
            <w:tcW w:w="1087" w:type="dxa"/>
            <w:shd w:val="clear" w:color="auto" w:fill="auto"/>
            <w:vAlign w:val="center"/>
          </w:tcPr>
          <w:p w14:paraId="757F5937" w14:textId="5CA2912E" w:rsidR="00A56DA4" w:rsidRPr="00E03732" w:rsidRDefault="00A56DA4" w:rsidP="00A56DA4">
            <w:pPr>
              <w:spacing w:after="0" w:line="240" w:lineRule="auto"/>
              <w:jc w:val="right"/>
              <w:rPr>
                <w:rFonts w:ascii="Calibri" w:hAnsi="Calibri" w:cs="Calibri"/>
                <w:color w:val="000000"/>
              </w:rPr>
            </w:pPr>
            <w:r>
              <w:rPr>
                <w:rFonts w:ascii="Calibri" w:hAnsi="Calibri" w:cs="Calibri"/>
                <w:color w:val="000000"/>
              </w:rPr>
              <w:t>83</w:t>
            </w:r>
          </w:p>
        </w:tc>
        <w:tc>
          <w:tcPr>
            <w:tcW w:w="1087" w:type="dxa"/>
            <w:shd w:val="clear" w:color="auto" w:fill="auto"/>
            <w:vAlign w:val="center"/>
          </w:tcPr>
          <w:p w14:paraId="7AC878F2" w14:textId="4295557C" w:rsidR="00A56DA4" w:rsidRPr="00E03732" w:rsidRDefault="00A56DA4" w:rsidP="00A56DA4">
            <w:pPr>
              <w:spacing w:after="0" w:line="240" w:lineRule="auto"/>
              <w:jc w:val="right"/>
              <w:rPr>
                <w:rFonts w:ascii="Calibri" w:hAnsi="Calibri" w:cs="Calibri"/>
                <w:color w:val="000000"/>
                <w:sz w:val="20"/>
                <w:szCs w:val="20"/>
              </w:rPr>
            </w:pPr>
            <w:r>
              <w:rPr>
                <w:rFonts w:ascii="Calibri" w:hAnsi="Calibri" w:cs="Calibri"/>
                <w:color w:val="000000"/>
              </w:rPr>
              <w:t>34</w:t>
            </w:r>
            <w:r w:rsidR="00AB4A9C">
              <w:rPr>
                <w:rFonts w:ascii="Calibri" w:hAnsi="Calibri" w:cs="Calibri"/>
                <w:color w:val="000000"/>
              </w:rPr>
              <w:t xml:space="preserve"> </w:t>
            </w:r>
            <w:r>
              <w:rPr>
                <w:rFonts w:ascii="Calibri" w:hAnsi="Calibri" w:cs="Calibri"/>
                <w:color w:val="000000"/>
              </w:rPr>
              <w:t>%</w:t>
            </w:r>
          </w:p>
        </w:tc>
      </w:tr>
      <w:tr w:rsidR="00400F30" w:rsidRPr="007C1F2C" w14:paraId="5FB480AB" w14:textId="77D4C962" w:rsidTr="0011699E">
        <w:trPr>
          <w:trHeight w:val="340"/>
        </w:trPr>
        <w:tc>
          <w:tcPr>
            <w:tcW w:w="2263" w:type="dxa"/>
            <w:shd w:val="clear" w:color="auto" w:fill="auto"/>
            <w:noWrap/>
            <w:vAlign w:val="center"/>
          </w:tcPr>
          <w:p w14:paraId="46D46BC1" w14:textId="3C7AAD49"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Zlínský</w:t>
            </w:r>
            <w:r w:rsidR="008519CC">
              <w:rPr>
                <w:rFonts w:ascii="Calibri" w:hAnsi="Calibri" w:cs="Calibri"/>
                <w:color w:val="000000"/>
              </w:rPr>
              <w:t xml:space="preserve"> kraj</w:t>
            </w:r>
          </w:p>
        </w:tc>
        <w:tc>
          <w:tcPr>
            <w:tcW w:w="1086" w:type="dxa"/>
            <w:shd w:val="clear" w:color="auto" w:fill="auto"/>
            <w:vAlign w:val="center"/>
          </w:tcPr>
          <w:p w14:paraId="5E36A33A" w14:textId="54CF2791"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27</w:t>
            </w:r>
          </w:p>
        </w:tc>
        <w:tc>
          <w:tcPr>
            <w:tcW w:w="757" w:type="dxa"/>
            <w:shd w:val="clear" w:color="auto" w:fill="auto"/>
            <w:vAlign w:val="center"/>
          </w:tcPr>
          <w:p w14:paraId="7120D949" w14:textId="2A2DC0DD"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708" w:type="dxa"/>
            <w:shd w:val="clear" w:color="auto" w:fill="auto"/>
            <w:vAlign w:val="center"/>
          </w:tcPr>
          <w:p w14:paraId="143CB0F8" w14:textId="60D2F6C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6</w:t>
            </w:r>
          </w:p>
        </w:tc>
        <w:tc>
          <w:tcPr>
            <w:tcW w:w="708" w:type="dxa"/>
            <w:shd w:val="clear" w:color="auto" w:fill="auto"/>
            <w:vAlign w:val="center"/>
          </w:tcPr>
          <w:p w14:paraId="775DDFD9" w14:textId="491D9F8D"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14</w:t>
            </w:r>
          </w:p>
        </w:tc>
        <w:tc>
          <w:tcPr>
            <w:tcW w:w="1087" w:type="dxa"/>
            <w:shd w:val="clear" w:color="auto" w:fill="auto"/>
            <w:vAlign w:val="center"/>
          </w:tcPr>
          <w:p w14:paraId="67618C27" w14:textId="384CBA4C"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490</w:t>
            </w:r>
          </w:p>
        </w:tc>
        <w:tc>
          <w:tcPr>
            <w:tcW w:w="1087" w:type="dxa"/>
            <w:shd w:val="clear" w:color="auto" w:fill="auto"/>
            <w:vAlign w:val="center"/>
          </w:tcPr>
          <w:p w14:paraId="244AABFB" w14:textId="7293D18B"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755</w:t>
            </w:r>
          </w:p>
        </w:tc>
        <w:tc>
          <w:tcPr>
            <w:tcW w:w="1087" w:type="dxa"/>
            <w:shd w:val="clear" w:color="auto" w:fill="auto"/>
            <w:vAlign w:val="center"/>
          </w:tcPr>
          <w:p w14:paraId="442495AB" w14:textId="35F7BB60"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108</w:t>
            </w:r>
          </w:p>
        </w:tc>
        <w:tc>
          <w:tcPr>
            <w:tcW w:w="1087" w:type="dxa"/>
            <w:shd w:val="clear" w:color="auto" w:fill="auto"/>
            <w:vAlign w:val="center"/>
          </w:tcPr>
          <w:p w14:paraId="393E9CFA" w14:textId="2BDABCD4" w:rsidR="00400F30" w:rsidRPr="00E03732" w:rsidRDefault="0099366D" w:rsidP="00917587">
            <w:pPr>
              <w:spacing w:after="0" w:line="240" w:lineRule="auto"/>
              <w:jc w:val="right"/>
              <w:rPr>
                <w:rFonts w:ascii="Calibri" w:hAnsi="Calibri" w:cs="Calibri"/>
                <w:color w:val="000000"/>
                <w:sz w:val="20"/>
                <w:szCs w:val="20"/>
              </w:rPr>
            </w:pPr>
            <w:r w:rsidRPr="00E03732">
              <w:rPr>
                <w:rFonts w:ascii="Calibri" w:hAnsi="Calibri" w:cs="Calibri"/>
                <w:color w:val="000000"/>
              </w:rPr>
              <w:t>2</w:t>
            </w:r>
            <w:r>
              <w:rPr>
                <w:rFonts w:ascii="Calibri" w:hAnsi="Calibri" w:cs="Calibri"/>
                <w:color w:val="000000"/>
              </w:rPr>
              <w:t>5</w:t>
            </w:r>
            <w:r w:rsidRPr="00E03732">
              <w:rPr>
                <w:rFonts w:ascii="Calibri" w:hAnsi="Calibri" w:cs="Calibri"/>
                <w:color w:val="000000"/>
              </w:rPr>
              <w:t xml:space="preserve"> </w:t>
            </w:r>
            <w:r w:rsidR="00400F30" w:rsidRPr="00E03732">
              <w:rPr>
                <w:rFonts w:ascii="Calibri" w:hAnsi="Calibri" w:cs="Calibri"/>
                <w:color w:val="000000"/>
              </w:rPr>
              <w:t>%</w:t>
            </w:r>
          </w:p>
        </w:tc>
      </w:tr>
      <w:tr w:rsidR="00400F30" w:rsidRPr="007C1F2C" w14:paraId="3FDC59E4" w14:textId="3218FDB6" w:rsidTr="0011699E">
        <w:trPr>
          <w:trHeight w:val="340"/>
        </w:trPr>
        <w:tc>
          <w:tcPr>
            <w:tcW w:w="2263" w:type="dxa"/>
            <w:shd w:val="clear" w:color="auto" w:fill="auto"/>
            <w:noWrap/>
            <w:vAlign w:val="center"/>
          </w:tcPr>
          <w:p w14:paraId="2AB8FAB6" w14:textId="03772EB1"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Liberecký</w:t>
            </w:r>
            <w:r w:rsidR="008519CC">
              <w:rPr>
                <w:rFonts w:ascii="Calibri" w:hAnsi="Calibri" w:cs="Calibri"/>
                <w:color w:val="000000"/>
              </w:rPr>
              <w:t xml:space="preserve"> kraj</w:t>
            </w:r>
          </w:p>
        </w:tc>
        <w:tc>
          <w:tcPr>
            <w:tcW w:w="1086" w:type="dxa"/>
            <w:shd w:val="clear" w:color="auto" w:fill="auto"/>
            <w:vAlign w:val="center"/>
          </w:tcPr>
          <w:p w14:paraId="1576E2C0" w14:textId="018AEA42"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27</w:t>
            </w:r>
          </w:p>
        </w:tc>
        <w:tc>
          <w:tcPr>
            <w:tcW w:w="757" w:type="dxa"/>
            <w:shd w:val="clear" w:color="auto" w:fill="auto"/>
            <w:vAlign w:val="center"/>
          </w:tcPr>
          <w:p w14:paraId="0CE58FEF" w14:textId="4949A644"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13</w:t>
            </w:r>
          </w:p>
        </w:tc>
        <w:tc>
          <w:tcPr>
            <w:tcW w:w="708" w:type="dxa"/>
            <w:shd w:val="clear" w:color="auto" w:fill="auto"/>
            <w:vAlign w:val="center"/>
          </w:tcPr>
          <w:p w14:paraId="5DCF6F6E" w14:textId="3916C2B5"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708" w:type="dxa"/>
            <w:shd w:val="clear" w:color="auto" w:fill="auto"/>
            <w:vAlign w:val="center"/>
          </w:tcPr>
          <w:p w14:paraId="79F2C438" w14:textId="431F5DC4"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p>
        </w:tc>
        <w:tc>
          <w:tcPr>
            <w:tcW w:w="1087" w:type="dxa"/>
            <w:shd w:val="clear" w:color="auto" w:fill="auto"/>
            <w:vAlign w:val="center"/>
          </w:tcPr>
          <w:p w14:paraId="715EA2CF" w14:textId="297C52B3"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416</w:t>
            </w:r>
          </w:p>
        </w:tc>
        <w:tc>
          <w:tcPr>
            <w:tcW w:w="1087" w:type="dxa"/>
            <w:shd w:val="clear" w:color="auto" w:fill="auto"/>
            <w:vAlign w:val="center"/>
          </w:tcPr>
          <w:p w14:paraId="5698D2D0" w14:textId="217D73B9"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699</w:t>
            </w:r>
          </w:p>
        </w:tc>
        <w:tc>
          <w:tcPr>
            <w:tcW w:w="1087" w:type="dxa"/>
            <w:shd w:val="clear" w:color="auto" w:fill="auto"/>
            <w:vAlign w:val="center"/>
          </w:tcPr>
          <w:p w14:paraId="5BD3016D" w14:textId="601887A3"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80</w:t>
            </w:r>
          </w:p>
        </w:tc>
        <w:tc>
          <w:tcPr>
            <w:tcW w:w="1087" w:type="dxa"/>
            <w:shd w:val="clear" w:color="auto" w:fill="auto"/>
            <w:vAlign w:val="center"/>
          </w:tcPr>
          <w:p w14:paraId="03C9EF43" w14:textId="64CD39C0" w:rsidR="00400F30" w:rsidRPr="00E03732" w:rsidRDefault="0099366D" w:rsidP="00917587">
            <w:pPr>
              <w:spacing w:after="0" w:line="240" w:lineRule="auto"/>
              <w:jc w:val="right"/>
              <w:rPr>
                <w:rFonts w:ascii="Calibri" w:hAnsi="Calibri" w:cs="Calibri"/>
                <w:color w:val="000000"/>
                <w:sz w:val="20"/>
                <w:szCs w:val="20"/>
              </w:rPr>
            </w:pPr>
            <w:r w:rsidRPr="00E03732">
              <w:rPr>
                <w:rFonts w:ascii="Calibri" w:hAnsi="Calibri" w:cs="Calibri"/>
                <w:color w:val="000000"/>
              </w:rPr>
              <w:t>3</w:t>
            </w:r>
            <w:r>
              <w:rPr>
                <w:rFonts w:ascii="Calibri" w:hAnsi="Calibri" w:cs="Calibri"/>
                <w:color w:val="000000"/>
              </w:rPr>
              <w:t>4</w:t>
            </w:r>
            <w:r w:rsidRPr="00E03732">
              <w:rPr>
                <w:rFonts w:ascii="Calibri" w:hAnsi="Calibri" w:cs="Calibri"/>
                <w:color w:val="000000"/>
              </w:rPr>
              <w:t xml:space="preserve"> </w:t>
            </w:r>
            <w:r w:rsidR="00400F30" w:rsidRPr="00E03732">
              <w:rPr>
                <w:rFonts w:ascii="Calibri" w:hAnsi="Calibri" w:cs="Calibri"/>
                <w:color w:val="000000"/>
              </w:rPr>
              <w:t>%</w:t>
            </w:r>
          </w:p>
        </w:tc>
      </w:tr>
      <w:tr w:rsidR="00400F30" w:rsidRPr="007C1F2C" w14:paraId="613727C4" w14:textId="74EC7D08" w:rsidTr="0011699E">
        <w:trPr>
          <w:trHeight w:val="340"/>
        </w:trPr>
        <w:tc>
          <w:tcPr>
            <w:tcW w:w="2263" w:type="dxa"/>
            <w:shd w:val="clear" w:color="auto" w:fill="auto"/>
            <w:noWrap/>
            <w:vAlign w:val="center"/>
          </w:tcPr>
          <w:p w14:paraId="037161FD" w14:textId="5F7B2623" w:rsidR="00400F30" w:rsidRPr="007C1F2C" w:rsidRDefault="008519CC" w:rsidP="00917587">
            <w:pPr>
              <w:spacing w:after="0" w:line="240" w:lineRule="auto"/>
              <w:rPr>
                <w:rFonts w:ascii="Calibri" w:eastAsia="Times New Roman" w:hAnsi="Calibri" w:cs="Times New Roman"/>
                <w:color w:val="000000"/>
                <w:lang w:eastAsia="cs-CZ"/>
              </w:rPr>
            </w:pPr>
            <w:r>
              <w:rPr>
                <w:rFonts w:ascii="Calibri" w:hAnsi="Calibri" w:cs="Calibri"/>
                <w:color w:val="000000"/>
              </w:rPr>
              <w:t xml:space="preserve">Kraj </w:t>
            </w:r>
            <w:r w:rsidR="00400F30">
              <w:rPr>
                <w:rFonts w:ascii="Calibri" w:hAnsi="Calibri" w:cs="Calibri"/>
                <w:color w:val="000000"/>
              </w:rPr>
              <w:t>Vysočina</w:t>
            </w:r>
          </w:p>
        </w:tc>
        <w:tc>
          <w:tcPr>
            <w:tcW w:w="1086" w:type="dxa"/>
            <w:shd w:val="clear" w:color="auto" w:fill="auto"/>
            <w:vAlign w:val="center"/>
          </w:tcPr>
          <w:p w14:paraId="2FC8D870" w14:textId="272DEAE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24</w:t>
            </w:r>
          </w:p>
        </w:tc>
        <w:tc>
          <w:tcPr>
            <w:tcW w:w="757" w:type="dxa"/>
            <w:shd w:val="clear" w:color="auto" w:fill="auto"/>
            <w:vAlign w:val="center"/>
          </w:tcPr>
          <w:p w14:paraId="47241D00" w14:textId="3D275DA3"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6</w:t>
            </w:r>
          </w:p>
        </w:tc>
        <w:tc>
          <w:tcPr>
            <w:tcW w:w="708" w:type="dxa"/>
            <w:shd w:val="clear" w:color="auto" w:fill="auto"/>
            <w:vAlign w:val="center"/>
          </w:tcPr>
          <w:p w14:paraId="4F795A72" w14:textId="7392BED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708" w:type="dxa"/>
            <w:shd w:val="clear" w:color="auto" w:fill="auto"/>
            <w:vAlign w:val="center"/>
          </w:tcPr>
          <w:p w14:paraId="7D8FB242" w14:textId="01571375"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1087" w:type="dxa"/>
            <w:shd w:val="clear" w:color="auto" w:fill="auto"/>
            <w:vAlign w:val="center"/>
          </w:tcPr>
          <w:p w14:paraId="0CB68EEE" w14:textId="731302D9"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377</w:t>
            </w:r>
          </w:p>
        </w:tc>
        <w:tc>
          <w:tcPr>
            <w:tcW w:w="1087" w:type="dxa"/>
            <w:shd w:val="clear" w:color="auto" w:fill="auto"/>
            <w:vAlign w:val="center"/>
          </w:tcPr>
          <w:p w14:paraId="52960B2A" w14:textId="1C0B17EE"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595</w:t>
            </w:r>
          </w:p>
        </w:tc>
        <w:tc>
          <w:tcPr>
            <w:tcW w:w="1087" w:type="dxa"/>
            <w:shd w:val="clear" w:color="auto" w:fill="auto"/>
            <w:vAlign w:val="center"/>
          </w:tcPr>
          <w:p w14:paraId="6AE381CB" w14:textId="08297663"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86</w:t>
            </w:r>
          </w:p>
        </w:tc>
        <w:tc>
          <w:tcPr>
            <w:tcW w:w="1087" w:type="dxa"/>
            <w:shd w:val="clear" w:color="auto" w:fill="auto"/>
            <w:vAlign w:val="center"/>
          </w:tcPr>
          <w:p w14:paraId="2F8595BE" w14:textId="08EDDC9D"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28 %</w:t>
            </w:r>
          </w:p>
        </w:tc>
      </w:tr>
      <w:tr w:rsidR="00400F30" w:rsidRPr="007C1F2C" w14:paraId="55A68C3D" w14:textId="32CE5AFD" w:rsidTr="0011699E">
        <w:trPr>
          <w:trHeight w:val="340"/>
        </w:trPr>
        <w:tc>
          <w:tcPr>
            <w:tcW w:w="2263" w:type="dxa"/>
            <w:shd w:val="clear" w:color="auto" w:fill="auto"/>
            <w:noWrap/>
            <w:vAlign w:val="center"/>
          </w:tcPr>
          <w:p w14:paraId="1BFD7E6B" w14:textId="59F9AB9D"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Plzeňský</w:t>
            </w:r>
            <w:r w:rsidR="008519CC">
              <w:rPr>
                <w:rFonts w:ascii="Calibri" w:hAnsi="Calibri" w:cs="Calibri"/>
                <w:color w:val="000000"/>
              </w:rPr>
              <w:t xml:space="preserve"> kraj</w:t>
            </w:r>
          </w:p>
        </w:tc>
        <w:tc>
          <w:tcPr>
            <w:tcW w:w="1086" w:type="dxa"/>
            <w:shd w:val="clear" w:color="auto" w:fill="auto"/>
            <w:vAlign w:val="center"/>
          </w:tcPr>
          <w:p w14:paraId="66E79E25" w14:textId="6FA262D8"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21</w:t>
            </w:r>
          </w:p>
        </w:tc>
        <w:tc>
          <w:tcPr>
            <w:tcW w:w="757" w:type="dxa"/>
            <w:shd w:val="clear" w:color="auto" w:fill="auto"/>
            <w:vAlign w:val="center"/>
          </w:tcPr>
          <w:p w14:paraId="5EAAD206" w14:textId="5B15EB55"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5</w:t>
            </w:r>
          </w:p>
        </w:tc>
        <w:tc>
          <w:tcPr>
            <w:tcW w:w="708" w:type="dxa"/>
            <w:shd w:val="clear" w:color="auto" w:fill="auto"/>
            <w:vAlign w:val="center"/>
          </w:tcPr>
          <w:p w14:paraId="5A480F30" w14:textId="4C09D05D"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9</w:t>
            </w:r>
          </w:p>
        </w:tc>
        <w:tc>
          <w:tcPr>
            <w:tcW w:w="708" w:type="dxa"/>
            <w:shd w:val="clear" w:color="auto" w:fill="auto"/>
            <w:vAlign w:val="center"/>
          </w:tcPr>
          <w:p w14:paraId="197B8A91" w14:textId="0F0E6B68"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1087" w:type="dxa"/>
            <w:shd w:val="clear" w:color="auto" w:fill="auto"/>
            <w:vAlign w:val="center"/>
          </w:tcPr>
          <w:p w14:paraId="337FA642" w14:textId="72594B18"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316</w:t>
            </w:r>
          </w:p>
        </w:tc>
        <w:tc>
          <w:tcPr>
            <w:tcW w:w="1087" w:type="dxa"/>
            <w:shd w:val="clear" w:color="auto" w:fill="auto"/>
            <w:vAlign w:val="center"/>
          </w:tcPr>
          <w:p w14:paraId="4319F3B0" w14:textId="112DFFE1"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499</w:t>
            </w:r>
          </w:p>
        </w:tc>
        <w:tc>
          <w:tcPr>
            <w:tcW w:w="1087" w:type="dxa"/>
            <w:shd w:val="clear" w:color="auto" w:fill="auto"/>
            <w:vAlign w:val="center"/>
          </w:tcPr>
          <w:p w14:paraId="0D2F4A08" w14:textId="1447EDBB"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92</w:t>
            </w:r>
          </w:p>
        </w:tc>
        <w:tc>
          <w:tcPr>
            <w:tcW w:w="1087" w:type="dxa"/>
            <w:shd w:val="clear" w:color="auto" w:fill="auto"/>
            <w:vAlign w:val="center"/>
          </w:tcPr>
          <w:p w14:paraId="318561E5" w14:textId="2835392B"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23 %</w:t>
            </w:r>
          </w:p>
        </w:tc>
      </w:tr>
      <w:tr w:rsidR="00400F30" w:rsidRPr="007C1F2C" w14:paraId="46EA8675" w14:textId="65095AB1" w:rsidTr="0011699E">
        <w:trPr>
          <w:trHeight w:val="340"/>
        </w:trPr>
        <w:tc>
          <w:tcPr>
            <w:tcW w:w="2263" w:type="dxa"/>
            <w:shd w:val="clear" w:color="auto" w:fill="auto"/>
            <w:noWrap/>
            <w:vAlign w:val="center"/>
          </w:tcPr>
          <w:p w14:paraId="715EF02D" w14:textId="26147FD1"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Olomoucký</w:t>
            </w:r>
            <w:r w:rsidR="008519CC">
              <w:rPr>
                <w:rFonts w:ascii="Calibri" w:hAnsi="Calibri" w:cs="Calibri"/>
                <w:color w:val="000000"/>
              </w:rPr>
              <w:t xml:space="preserve"> kraj</w:t>
            </w:r>
          </w:p>
        </w:tc>
        <w:tc>
          <w:tcPr>
            <w:tcW w:w="1086" w:type="dxa"/>
            <w:shd w:val="clear" w:color="auto" w:fill="auto"/>
            <w:vAlign w:val="center"/>
          </w:tcPr>
          <w:p w14:paraId="6230DD64" w14:textId="54C12790"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20</w:t>
            </w:r>
          </w:p>
        </w:tc>
        <w:tc>
          <w:tcPr>
            <w:tcW w:w="757" w:type="dxa"/>
            <w:shd w:val="clear" w:color="auto" w:fill="auto"/>
            <w:vAlign w:val="center"/>
          </w:tcPr>
          <w:p w14:paraId="07AA26AA" w14:textId="511C01AF"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708" w:type="dxa"/>
            <w:shd w:val="clear" w:color="auto" w:fill="auto"/>
            <w:vAlign w:val="center"/>
          </w:tcPr>
          <w:p w14:paraId="2599F95D" w14:textId="61DFCCE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p>
        </w:tc>
        <w:tc>
          <w:tcPr>
            <w:tcW w:w="708" w:type="dxa"/>
            <w:shd w:val="clear" w:color="auto" w:fill="auto"/>
            <w:vAlign w:val="center"/>
          </w:tcPr>
          <w:p w14:paraId="1F0021B4" w14:textId="4B65A22B"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1087" w:type="dxa"/>
            <w:shd w:val="clear" w:color="auto" w:fill="auto"/>
            <w:vAlign w:val="center"/>
          </w:tcPr>
          <w:p w14:paraId="6319C3B7" w14:textId="6849EA4B"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349</w:t>
            </w:r>
          </w:p>
        </w:tc>
        <w:tc>
          <w:tcPr>
            <w:tcW w:w="1087" w:type="dxa"/>
            <w:shd w:val="clear" w:color="auto" w:fill="auto"/>
            <w:vAlign w:val="center"/>
          </w:tcPr>
          <w:p w14:paraId="6E762EB3" w14:textId="159CB243"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510</w:t>
            </w:r>
          </w:p>
        </w:tc>
        <w:tc>
          <w:tcPr>
            <w:tcW w:w="1087" w:type="dxa"/>
            <w:shd w:val="clear" w:color="auto" w:fill="auto"/>
            <w:vAlign w:val="center"/>
          </w:tcPr>
          <w:p w14:paraId="7945C6D0" w14:textId="4AC2EE02"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65</w:t>
            </w:r>
          </w:p>
        </w:tc>
        <w:tc>
          <w:tcPr>
            <w:tcW w:w="1087" w:type="dxa"/>
            <w:shd w:val="clear" w:color="auto" w:fill="auto"/>
            <w:vAlign w:val="center"/>
          </w:tcPr>
          <w:p w14:paraId="32E92399" w14:textId="4BEDF527"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31 %</w:t>
            </w:r>
          </w:p>
        </w:tc>
      </w:tr>
      <w:tr w:rsidR="00400F30" w:rsidRPr="007C1F2C" w14:paraId="5689FDDB" w14:textId="3507829E" w:rsidTr="0011699E">
        <w:trPr>
          <w:trHeight w:val="340"/>
        </w:trPr>
        <w:tc>
          <w:tcPr>
            <w:tcW w:w="2263" w:type="dxa"/>
            <w:shd w:val="clear" w:color="auto" w:fill="auto"/>
            <w:noWrap/>
            <w:vAlign w:val="center"/>
          </w:tcPr>
          <w:p w14:paraId="2E35130B" w14:textId="3DF52EF0"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Jihočeský</w:t>
            </w:r>
            <w:r w:rsidR="008519CC">
              <w:rPr>
                <w:rFonts w:ascii="Calibri" w:hAnsi="Calibri" w:cs="Calibri"/>
                <w:color w:val="000000"/>
              </w:rPr>
              <w:t xml:space="preserve"> kraj</w:t>
            </w:r>
          </w:p>
        </w:tc>
        <w:tc>
          <w:tcPr>
            <w:tcW w:w="1086" w:type="dxa"/>
            <w:shd w:val="clear" w:color="auto" w:fill="auto"/>
            <w:vAlign w:val="center"/>
          </w:tcPr>
          <w:p w14:paraId="45284CFC" w14:textId="0C0B692D"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18</w:t>
            </w:r>
          </w:p>
        </w:tc>
        <w:tc>
          <w:tcPr>
            <w:tcW w:w="757" w:type="dxa"/>
            <w:shd w:val="clear" w:color="auto" w:fill="auto"/>
            <w:vAlign w:val="center"/>
          </w:tcPr>
          <w:p w14:paraId="361E3E08" w14:textId="0D406589"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12</w:t>
            </w:r>
          </w:p>
        </w:tc>
        <w:tc>
          <w:tcPr>
            <w:tcW w:w="708" w:type="dxa"/>
            <w:shd w:val="clear" w:color="auto" w:fill="auto"/>
            <w:vAlign w:val="center"/>
          </w:tcPr>
          <w:p w14:paraId="413E949E" w14:textId="30395383"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w:t>
            </w:r>
          </w:p>
        </w:tc>
        <w:tc>
          <w:tcPr>
            <w:tcW w:w="708" w:type="dxa"/>
            <w:shd w:val="clear" w:color="auto" w:fill="auto"/>
            <w:vAlign w:val="center"/>
          </w:tcPr>
          <w:p w14:paraId="18D857D4" w14:textId="60F44FFB"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5</w:t>
            </w:r>
          </w:p>
        </w:tc>
        <w:tc>
          <w:tcPr>
            <w:tcW w:w="1087" w:type="dxa"/>
            <w:shd w:val="clear" w:color="auto" w:fill="auto"/>
            <w:vAlign w:val="center"/>
          </w:tcPr>
          <w:p w14:paraId="3EAE1F1B" w14:textId="6C17987C"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333</w:t>
            </w:r>
          </w:p>
        </w:tc>
        <w:tc>
          <w:tcPr>
            <w:tcW w:w="1087" w:type="dxa"/>
            <w:shd w:val="clear" w:color="auto" w:fill="auto"/>
            <w:vAlign w:val="center"/>
          </w:tcPr>
          <w:p w14:paraId="38EC2667" w14:textId="533E921B"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490</w:t>
            </w:r>
          </w:p>
        </w:tc>
        <w:tc>
          <w:tcPr>
            <w:tcW w:w="1087" w:type="dxa"/>
            <w:shd w:val="clear" w:color="auto" w:fill="auto"/>
            <w:vAlign w:val="center"/>
          </w:tcPr>
          <w:p w14:paraId="7D40A95D" w14:textId="6EF21C4F" w:rsidR="00400F30" w:rsidRPr="00E03732" w:rsidRDefault="00400F30" w:rsidP="00917587">
            <w:pPr>
              <w:spacing w:after="0" w:line="240" w:lineRule="auto"/>
              <w:jc w:val="right"/>
              <w:rPr>
                <w:rFonts w:ascii="Calibri" w:hAnsi="Calibri" w:cs="Calibri"/>
                <w:color w:val="000000"/>
              </w:rPr>
            </w:pPr>
            <w:r w:rsidRPr="00E03732">
              <w:rPr>
                <w:rFonts w:ascii="Calibri" w:hAnsi="Calibri" w:cs="Calibri"/>
                <w:color w:val="000000"/>
              </w:rPr>
              <w:t>87</w:t>
            </w:r>
          </w:p>
        </w:tc>
        <w:tc>
          <w:tcPr>
            <w:tcW w:w="1087" w:type="dxa"/>
            <w:shd w:val="clear" w:color="auto" w:fill="auto"/>
            <w:vAlign w:val="center"/>
          </w:tcPr>
          <w:p w14:paraId="7C2ABFA9" w14:textId="02E2C837" w:rsidR="00400F30" w:rsidRPr="00E03732" w:rsidRDefault="00400F30" w:rsidP="00917587">
            <w:pPr>
              <w:spacing w:after="0" w:line="240" w:lineRule="auto"/>
              <w:jc w:val="right"/>
              <w:rPr>
                <w:rFonts w:ascii="Calibri" w:hAnsi="Calibri" w:cs="Calibri"/>
                <w:color w:val="000000"/>
                <w:sz w:val="20"/>
                <w:szCs w:val="20"/>
              </w:rPr>
            </w:pPr>
            <w:r w:rsidRPr="00E03732">
              <w:rPr>
                <w:rFonts w:ascii="Calibri" w:hAnsi="Calibri" w:cs="Calibri"/>
                <w:color w:val="000000"/>
              </w:rPr>
              <w:t>21</w:t>
            </w:r>
            <w:r w:rsidR="00887A58" w:rsidRPr="00E03732">
              <w:rPr>
                <w:rFonts w:ascii="Calibri" w:hAnsi="Calibri" w:cs="Calibri"/>
                <w:color w:val="000000"/>
              </w:rPr>
              <w:t xml:space="preserve"> </w:t>
            </w:r>
            <w:r w:rsidRPr="00E03732">
              <w:rPr>
                <w:rFonts w:ascii="Calibri" w:hAnsi="Calibri" w:cs="Calibri"/>
                <w:color w:val="000000"/>
              </w:rPr>
              <w:t>%</w:t>
            </w:r>
          </w:p>
        </w:tc>
      </w:tr>
      <w:tr w:rsidR="00400F30" w:rsidRPr="007C1F2C" w14:paraId="2F70C779" w14:textId="0F07B58D" w:rsidTr="0011699E">
        <w:trPr>
          <w:trHeight w:val="340"/>
        </w:trPr>
        <w:tc>
          <w:tcPr>
            <w:tcW w:w="2263" w:type="dxa"/>
            <w:shd w:val="clear" w:color="auto" w:fill="auto"/>
            <w:noWrap/>
            <w:vAlign w:val="center"/>
          </w:tcPr>
          <w:p w14:paraId="06DC9C7E" w14:textId="55FA3C6A"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color w:val="000000"/>
              </w:rPr>
              <w:t>Karlovarský kraj</w:t>
            </w:r>
          </w:p>
        </w:tc>
        <w:tc>
          <w:tcPr>
            <w:tcW w:w="1086" w:type="dxa"/>
            <w:shd w:val="clear" w:color="auto" w:fill="auto"/>
            <w:vAlign w:val="center"/>
          </w:tcPr>
          <w:p w14:paraId="586C50C2" w14:textId="3ED551DF"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p>
        </w:tc>
        <w:tc>
          <w:tcPr>
            <w:tcW w:w="757" w:type="dxa"/>
            <w:shd w:val="clear" w:color="auto" w:fill="auto"/>
            <w:vAlign w:val="center"/>
          </w:tcPr>
          <w:p w14:paraId="4E630B27" w14:textId="1A244C75"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0</w:t>
            </w:r>
          </w:p>
        </w:tc>
        <w:tc>
          <w:tcPr>
            <w:tcW w:w="708" w:type="dxa"/>
            <w:shd w:val="clear" w:color="auto" w:fill="auto"/>
            <w:vAlign w:val="center"/>
          </w:tcPr>
          <w:p w14:paraId="48AFA77E" w14:textId="7954C0CD"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1</w:t>
            </w:r>
          </w:p>
        </w:tc>
        <w:tc>
          <w:tcPr>
            <w:tcW w:w="708" w:type="dxa"/>
            <w:shd w:val="clear" w:color="auto" w:fill="auto"/>
            <w:vAlign w:val="center"/>
          </w:tcPr>
          <w:p w14:paraId="15B95BD3" w14:textId="099579C6"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p>
        </w:tc>
        <w:tc>
          <w:tcPr>
            <w:tcW w:w="1087" w:type="dxa"/>
            <w:shd w:val="clear" w:color="auto" w:fill="auto"/>
            <w:vAlign w:val="center"/>
          </w:tcPr>
          <w:p w14:paraId="03047955" w14:textId="6D87F1B7"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59</w:t>
            </w:r>
          </w:p>
        </w:tc>
        <w:tc>
          <w:tcPr>
            <w:tcW w:w="1087" w:type="dxa"/>
            <w:shd w:val="clear" w:color="auto" w:fill="auto"/>
            <w:vAlign w:val="center"/>
          </w:tcPr>
          <w:p w14:paraId="5DAF76E3" w14:textId="224B79FC"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color w:val="000000"/>
              </w:rPr>
              <w:t>91</w:t>
            </w:r>
          </w:p>
        </w:tc>
        <w:tc>
          <w:tcPr>
            <w:tcW w:w="1087" w:type="dxa"/>
            <w:shd w:val="clear" w:color="auto" w:fill="auto"/>
            <w:vAlign w:val="center"/>
          </w:tcPr>
          <w:p w14:paraId="1E5B671B" w14:textId="68BD7BAA" w:rsidR="00400F30" w:rsidRPr="001C50C6" w:rsidRDefault="00400F30" w:rsidP="00917587">
            <w:pPr>
              <w:spacing w:after="0" w:line="240" w:lineRule="auto"/>
              <w:jc w:val="right"/>
              <w:rPr>
                <w:rFonts w:ascii="Calibri" w:hAnsi="Calibri" w:cs="Calibri"/>
                <w:color w:val="000000"/>
              </w:rPr>
            </w:pPr>
            <w:r>
              <w:rPr>
                <w:rFonts w:ascii="Calibri" w:hAnsi="Calibri" w:cs="Calibri"/>
                <w:color w:val="000000"/>
              </w:rPr>
              <w:t>11</w:t>
            </w:r>
          </w:p>
        </w:tc>
        <w:tc>
          <w:tcPr>
            <w:tcW w:w="1087" w:type="dxa"/>
            <w:shd w:val="clear" w:color="auto" w:fill="auto"/>
            <w:vAlign w:val="center"/>
          </w:tcPr>
          <w:p w14:paraId="35CC9F24" w14:textId="5127A0CC" w:rsidR="00400F30" w:rsidRPr="001C50C6" w:rsidRDefault="00400F30" w:rsidP="00917587">
            <w:pPr>
              <w:spacing w:after="0" w:line="240" w:lineRule="auto"/>
              <w:jc w:val="right"/>
              <w:rPr>
                <w:rFonts w:ascii="Calibri" w:hAnsi="Calibri" w:cs="Calibri"/>
                <w:color w:val="000000"/>
                <w:sz w:val="20"/>
                <w:szCs w:val="20"/>
              </w:rPr>
            </w:pPr>
            <w:r>
              <w:rPr>
                <w:rFonts w:ascii="Calibri" w:hAnsi="Calibri" w:cs="Calibri"/>
                <w:color w:val="000000"/>
              </w:rPr>
              <w:t>27</w:t>
            </w:r>
            <w:r w:rsidR="00887A58">
              <w:rPr>
                <w:rFonts w:ascii="Calibri" w:hAnsi="Calibri" w:cs="Calibri"/>
                <w:color w:val="000000"/>
              </w:rPr>
              <w:t xml:space="preserve"> </w:t>
            </w:r>
            <w:r>
              <w:rPr>
                <w:rFonts w:ascii="Calibri" w:hAnsi="Calibri" w:cs="Calibri"/>
                <w:color w:val="000000"/>
              </w:rPr>
              <w:t>%</w:t>
            </w:r>
          </w:p>
        </w:tc>
      </w:tr>
      <w:tr w:rsidR="00400F30" w:rsidRPr="007C1F2C" w14:paraId="7DD2009E" w14:textId="0601F568" w:rsidTr="0011699E">
        <w:trPr>
          <w:trHeight w:val="340"/>
        </w:trPr>
        <w:tc>
          <w:tcPr>
            <w:tcW w:w="2263" w:type="dxa"/>
            <w:shd w:val="clear" w:color="auto" w:fill="auto"/>
            <w:noWrap/>
            <w:vAlign w:val="center"/>
          </w:tcPr>
          <w:p w14:paraId="14A131BF" w14:textId="71F23E10" w:rsidR="00400F30" w:rsidRPr="007C1F2C" w:rsidRDefault="00400F30" w:rsidP="00917587">
            <w:pPr>
              <w:spacing w:after="0" w:line="240" w:lineRule="auto"/>
              <w:rPr>
                <w:rFonts w:ascii="Calibri" w:eastAsia="Times New Roman" w:hAnsi="Calibri" w:cs="Times New Roman"/>
                <w:color w:val="000000"/>
                <w:lang w:eastAsia="cs-CZ"/>
              </w:rPr>
            </w:pPr>
            <w:r>
              <w:rPr>
                <w:rFonts w:ascii="Calibri" w:hAnsi="Calibri" w:cs="Calibri"/>
                <w:b/>
                <w:bCs/>
                <w:color w:val="000000"/>
              </w:rPr>
              <w:t>CELKEM</w:t>
            </w:r>
          </w:p>
        </w:tc>
        <w:tc>
          <w:tcPr>
            <w:tcW w:w="1086" w:type="dxa"/>
            <w:shd w:val="clear" w:color="auto" w:fill="auto"/>
            <w:vAlign w:val="center"/>
          </w:tcPr>
          <w:p w14:paraId="06FE1620" w14:textId="302D67C6" w:rsidR="00400F30" w:rsidRPr="007C1F2C" w:rsidRDefault="007458C7"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670</w:t>
            </w:r>
          </w:p>
        </w:tc>
        <w:tc>
          <w:tcPr>
            <w:tcW w:w="757" w:type="dxa"/>
            <w:shd w:val="clear" w:color="auto" w:fill="auto"/>
            <w:vAlign w:val="center"/>
          </w:tcPr>
          <w:p w14:paraId="5CA383C5" w14:textId="58F2D56B" w:rsidR="00400F30" w:rsidRPr="00EB666F"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3</w:t>
            </w:r>
            <w:r w:rsidR="007458C7">
              <w:rPr>
                <w:rFonts w:ascii="Calibri" w:hAnsi="Calibri" w:cs="Calibri"/>
                <w:b/>
                <w:bCs/>
                <w:color w:val="000000"/>
              </w:rPr>
              <w:t>2</w:t>
            </w:r>
            <w:r>
              <w:rPr>
                <w:rFonts w:ascii="Calibri" w:hAnsi="Calibri" w:cs="Calibri"/>
                <w:b/>
                <w:bCs/>
                <w:color w:val="000000"/>
              </w:rPr>
              <w:t>7</w:t>
            </w:r>
          </w:p>
        </w:tc>
        <w:tc>
          <w:tcPr>
            <w:tcW w:w="708" w:type="dxa"/>
            <w:shd w:val="clear" w:color="auto" w:fill="auto"/>
            <w:vAlign w:val="center"/>
          </w:tcPr>
          <w:p w14:paraId="0802F49C" w14:textId="76F25670" w:rsidR="00400F30" w:rsidRPr="00EB666F"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16</w:t>
            </w:r>
            <w:r w:rsidR="007458C7">
              <w:rPr>
                <w:rFonts w:ascii="Calibri" w:hAnsi="Calibri" w:cs="Calibri"/>
                <w:b/>
                <w:bCs/>
                <w:color w:val="000000"/>
              </w:rPr>
              <w:t>1</w:t>
            </w:r>
          </w:p>
        </w:tc>
        <w:tc>
          <w:tcPr>
            <w:tcW w:w="708" w:type="dxa"/>
            <w:shd w:val="clear" w:color="auto" w:fill="auto"/>
            <w:vAlign w:val="center"/>
          </w:tcPr>
          <w:p w14:paraId="746EC88E" w14:textId="723FF0B4" w:rsidR="00400F30" w:rsidRPr="00EB666F"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182</w:t>
            </w:r>
          </w:p>
        </w:tc>
        <w:tc>
          <w:tcPr>
            <w:tcW w:w="1087" w:type="dxa"/>
            <w:shd w:val="clear" w:color="auto" w:fill="auto"/>
            <w:vAlign w:val="center"/>
          </w:tcPr>
          <w:p w14:paraId="5910DF27" w14:textId="49EB0E75"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10</w:t>
            </w:r>
            <w:r w:rsidR="0011699E">
              <w:rPr>
                <w:rFonts w:ascii="Calibri" w:hAnsi="Calibri" w:cs="Calibri"/>
                <w:b/>
                <w:bCs/>
                <w:color w:val="000000"/>
              </w:rPr>
              <w:t xml:space="preserve"> </w:t>
            </w:r>
            <w:r w:rsidR="007458C7">
              <w:rPr>
                <w:rFonts w:ascii="Calibri" w:hAnsi="Calibri" w:cs="Calibri"/>
                <w:b/>
                <w:bCs/>
                <w:color w:val="000000"/>
              </w:rPr>
              <w:t>464</w:t>
            </w:r>
          </w:p>
        </w:tc>
        <w:tc>
          <w:tcPr>
            <w:tcW w:w="1087" w:type="dxa"/>
            <w:shd w:val="clear" w:color="auto" w:fill="auto"/>
            <w:vAlign w:val="center"/>
          </w:tcPr>
          <w:p w14:paraId="774DC6D6" w14:textId="360D9F50" w:rsidR="00400F30" w:rsidRPr="007C1F2C" w:rsidRDefault="00400F30"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w:t>
            </w:r>
            <w:r w:rsidR="007458C7">
              <w:rPr>
                <w:rFonts w:ascii="Calibri" w:hAnsi="Calibri" w:cs="Calibri"/>
                <w:b/>
                <w:bCs/>
                <w:color w:val="000000"/>
              </w:rPr>
              <w:t>6</w:t>
            </w:r>
            <w:r w:rsidR="00AB4A9C">
              <w:rPr>
                <w:rFonts w:ascii="Calibri" w:hAnsi="Calibri" w:cs="Calibri"/>
                <w:b/>
                <w:bCs/>
                <w:color w:val="000000"/>
              </w:rPr>
              <w:t xml:space="preserve"> </w:t>
            </w:r>
            <w:r w:rsidR="007458C7">
              <w:rPr>
                <w:rFonts w:ascii="Calibri" w:hAnsi="Calibri" w:cs="Calibri"/>
                <w:b/>
                <w:bCs/>
                <w:color w:val="000000"/>
              </w:rPr>
              <w:t>028</w:t>
            </w:r>
          </w:p>
        </w:tc>
        <w:tc>
          <w:tcPr>
            <w:tcW w:w="1087" w:type="dxa"/>
            <w:vAlign w:val="center"/>
          </w:tcPr>
          <w:p w14:paraId="191084C5" w14:textId="1FC3CFEB" w:rsidR="00400F30" w:rsidRPr="00E83EAF" w:rsidRDefault="00400F30" w:rsidP="00917587">
            <w:pPr>
              <w:spacing w:after="0" w:line="240" w:lineRule="auto"/>
              <w:jc w:val="right"/>
              <w:rPr>
                <w:rFonts w:ascii="Calibri" w:hAnsi="Calibri" w:cs="Calibri"/>
                <w:b/>
                <w:bCs/>
                <w:color w:val="000000"/>
              </w:rPr>
            </w:pPr>
            <w:r>
              <w:rPr>
                <w:rFonts w:ascii="Calibri" w:hAnsi="Calibri" w:cs="Calibri"/>
                <w:b/>
                <w:bCs/>
                <w:color w:val="000000"/>
              </w:rPr>
              <w:t>2</w:t>
            </w:r>
            <w:r w:rsidR="0011699E">
              <w:rPr>
                <w:rFonts w:ascii="Calibri" w:hAnsi="Calibri" w:cs="Calibri"/>
                <w:b/>
                <w:bCs/>
                <w:color w:val="000000"/>
              </w:rPr>
              <w:t xml:space="preserve"> </w:t>
            </w:r>
            <w:r>
              <w:rPr>
                <w:rFonts w:ascii="Calibri" w:hAnsi="Calibri" w:cs="Calibri"/>
                <w:b/>
                <w:bCs/>
                <w:color w:val="000000"/>
              </w:rPr>
              <w:t>312</w:t>
            </w:r>
          </w:p>
        </w:tc>
        <w:tc>
          <w:tcPr>
            <w:tcW w:w="1087" w:type="dxa"/>
            <w:vAlign w:val="center"/>
          </w:tcPr>
          <w:p w14:paraId="14305BA5" w14:textId="1EA6710A" w:rsidR="00400F30" w:rsidRPr="004753C4" w:rsidRDefault="008519CC" w:rsidP="00917587">
            <w:pPr>
              <w:spacing w:after="0" w:line="240" w:lineRule="auto"/>
              <w:jc w:val="right"/>
              <w:rPr>
                <w:rFonts w:ascii="Calibri" w:hAnsi="Calibri" w:cs="Calibri"/>
                <w:b/>
                <w:bCs/>
                <w:color w:val="000000"/>
                <w:highlight w:val="yellow"/>
              </w:rPr>
            </w:pPr>
            <w:r>
              <w:rPr>
                <w:rFonts w:ascii="Calibri" w:hAnsi="Calibri" w:cs="Calibri"/>
                <w:b/>
                <w:bCs/>
                <w:color w:val="000000"/>
              </w:rPr>
              <w:t>29 %</w:t>
            </w:r>
            <w:r w:rsidR="00400F30">
              <w:rPr>
                <w:rFonts w:ascii="Calibri" w:hAnsi="Calibri" w:cs="Calibri"/>
                <w:b/>
                <w:bCs/>
                <w:color w:val="000000"/>
              </w:rPr>
              <w:t> </w:t>
            </w:r>
          </w:p>
        </w:tc>
      </w:tr>
    </w:tbl>
    <w:p w14:paraId="1E56DC8C" w14:textId="77777777" w:rsidR="009A6452" w:rsidRDefault="009A6452" w:rsidP="00AB4A9C">
      <w:pPr>
        <w:spacing w:before="240" w:after="120"/>
        <w:jc w:val="both"/>
        <w:rPr>
          <w:szCs w:val="24"/>
        </w:rPr>
      </w:pPr>
      <w:r>
        <w:rPr>
          <w:szCs w:val="24"/>
        </w:rPr>
        <w:lastRenderedPageBreak/>
        <w:t xml:space="preserve">Pokud projekty rozčleníme podle místa, kde má probíhat převážná část jejich realizace, pak se Hlavní město Praha zařadí až na druhé místo v pořadí dle počtu projektů, zvýší se počet projektů zejména v krajích Středočeském, Moravskoslezském a Ústeckém, dále mírně také v Plzeňském, Jihomoravském či Libereckém. </w:t>
      </w:r>
    </w:p>
    <w:p w14:paraId="7CCDAC72" w14:textId="5FFFFE48" w:rsidR="00757833" w:rsidRDefault="00944EA8" w:rsidP="00944EA8">
      <w:pPr>
        <w:keepNext/>
        <w:spacing w:after="120" w:line="240" w:lineRule="auto"/>
        <w:jc w:val="both"/>
      </w:pPr>
      <w:bookmarkStart w:id="32" w:name="_Toc185334578"/>
      <w:r w:rsidRPr="007C1F2C">
        <w:rPr>
          <w:b/>
          <w:i/>
        </w:rPr>
        <w:t xml:space="preserve">Tabulka </w:t>
      </w:r>
      <w:r w:rsidRPr="007C1F2C">
        <w:rPr>
          <w:b/>
          <w:i/>
        </w:rPr>
        <w:fldChar w:fldCharType="begin"/>
      </w:r>
      <w:r w:rsidRPr="007C1F2C">
        <w:rPr>
          <w:b/>
          <w:i/>
        </w:rPr>
        <w:instrText xml:space="preserve"> SEQ Tabulka \* ARABIC </w:instrText>
      </w:r>
      <w:r w:rsidRPr="007C1F2C">
        <w:rPr>
          <w:b/>
          <w:i/>
        </w:rPr>
        <w:fldChar w:fldCharType="separate"/>
      </w:r>
      <w:r w:rsidR="00353407">
        <w:rPr>
          <w:b/>
          <w:i/>
          <w:noProof/>
        </w:rPr>
        <w:t>11</w:t>
      </w:r>
      <w:r w:rsidRPr="007C1F2C">
        <w:rPr>
          <w:b/>
          <w:i/>
        </w:rPr>
        <w:fldChar w:fldCharType="end"/>
      </w:r>
      <w:r w:rsidRPr="007C1F2C">
        <w:rPr>
          <w:b/>
          <w:i/>
        </w:rPr>
        <w:t>: P</w:t>
      </w:r>
      <w:r w:rsidR="003F4E47">
        <w:rPr>
          <w:b/>
          <w:i/>
        </w:rPr>
        <w:t>odpořené p</w:t>
      </w:r>
      <w:r w:rsidRPr="007C1F2C">
        <w:rPr>
          <w:b/>
          <w:i/>
        </w:rPr>
        <w:t xml:space="preserve">rojekty </w:t>
      </w:r>
      <w:r w:rsidR="00C249C9">
        <w:rPr>
          <w:b/>
          <w:i/>
        </w:rPr>
        <w:t>po</w:t>
      </w:r>
      <w:r w:rsidRPr="007C1F2C">
        <w:rPr>
          <w:b/>
          <w:i/>
        </w:rPr>
        <w:t xml:space="preserve">dle </w:t>
      </w:r>
      <w:r>
        <w:rPr>
          <w:b/>
          <w:i/>
        </w:rPr>
        <w:t>kraje realizace</w:t>
      </w:r>
      <w:bookmarkEnd w:id="32"/>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992"/>
        <w:gridCol w:w="709"/>
        <w:gridCol w:w="850"/>
        <w:gridCol w:w="851"/>
        <w:gridCol w:w="1087"/>
        <w:gridCol w:w="1087"/>
        <w:gridCol w:w="944"/>
        <w:gridCol w:w="1087"/>
      </w:tblGrid>
      <w:tr w:rsidR="00353A80" w:rsidRPr="007C1F2C" w14:paraId="3A6C4D82" w14:textId="77777777" w:rsidTr="002342AB">
        <w:trPr>
          <w:trHeight w:val="567"/>
        </w:trPr>
        <w:tc>
          <w:tcPr>
            <w:tcW w:w="2263" w:type="dxa"/>
            <w:shd w:val="clear" w:color="auto" w:fill="B9E0F7" w:themeFill="accent5"/>
            <w:noWrap/>
            <w:vAlign w:val="center"/>
          </w:tcPr>
          <w:p w14:paraId="17F6D55E" w14:textId="771B4526" w:rsidR="00353A80" w:rsidRPr="007C1F2C" w:rsidRDefault="00353A80" w:rsidP="002342AB">
            <w:pPr>
              <w:spacing w:before="240" w:after="0"/>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Kraj</w:t>
            </w:r>
            <w:r>
              <w:rPr>
                <w:rFonts w:ascii="Calibri" w:eastAsia="Times New Roman" w:hAnsi="Calibri" w:cs="Times New Roman"/>
                <w:color w:val="000000"/>
                <w:lang w:eastAsia="cs-CZ"/>
              </w:rPr>
              <w:t xml:space="preserve"> – místo realizace projektu</w:t>
            </w:r>
          </w:p>
        </w:tc>
        <w:tc>
          <w:tcPr>
            <w:tcW w:w="992" w:type="dxa"/>
            <w:shd w:val="clear" w:color="auto" w:fill="B9E0F7" w:themeFill="accent5"/>
            <w:vAlign w:val="center"/>
          </w:tcPr>
          <w:p w14:paraId="736434E3" w14:textId="77777777" w:rsidR="00353A80" w:rsidRPr="007C1F2C" w:rsidRDefault="00353A80" w:rsidP="002342AB">
            <w:pPr>
              <w:spacing w:before="240"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Počet projektů</w:t>
            </w:r>
          </w:p>
        </w:tc>
        <w:tc>
          <w:tcPr>
            <w:tcW w:w="709" w:type="dxa"/>
            <w:shd w:val="clear" w:color="auto" w:fill="B9E0F7" w:themeFill="accent5"/>
            <w:vAlign w:val="center"/>
          </w:tcPr>
          <w:p w14:paraId="664DDC14" w14:textId="77777777" w:rsidR="00353A80" w:rsidRPr="007C1F2C" w:rsidRDefault="00353A80" w:rsidP="002342AB">
            <w:pPr>
              <w:spacing w:before="240"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MP</w:t>
            </w:r>
          </w:p>
        </w:tc>
        <w:tc>
          <w:tcPr>
            <w:tcW w:w="850" w:type="dxa"/>
            <w:shd w:val="clear" w:color="auto" w:fill="B9E0F7" w:themeFill="accent5"/>
            <w:vAlign w:val="center"/>
          </w:tcPr>
          <w:p w14:paraId="5400CF98" w14:textId="77777777" w:rsidR="00353A80" w:rsidRPr="007C1F2C" w:rsidRDefault="00353A80" w:rsidP="002342AB">
            <w:pPr>
              <w:spacing w:before="240"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SP</w:t>
            </w:r>
          </w:p>
        </w:tc>
        <w:tc>
          <w:tcPr>
            <w:tcW w:w="851" w:type="dxa"/>
            <w:shd w:val="clear" w:color="auto" w:fill="B9E0F7" w:themeFill="accent5"/>
            <w:vAlign w:val="center"/>
          </w:tcPr>
          <w:p w14:paraId="3E28DC60" w14:textId="77777777" w:rsidR="00353A80" w:rsidRPr="007C1F2C" w:rsidRDefault="00353A80" w:rsidP="002342AB">
            <w:pPr>
              <w:spacing w:before="240"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VP</w:t>
            </w:r>
          </w:p>
        </w:tc>
        <w:tc>
          <w:tcPr>
            <w:tcW w:w="1087" w:type="dxa"/>
            <w:shd w:val="clear" w:color="auto" w:fill="B9E0F7" w:themeFill="accent5"/>
            <w:vAlign w:val="center"/>
          </w:tcPr>
          <w:p w14:paraId="409B26C4" w14:textId="77777777" w:rsidR="00353A80" w:rsidRPr="007C1F2C" w:rsidRDefault="00353A80" w:rsidP="002342AB">
            <w:pPr>
              <w:spacing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Výše dotace (mil. Kč)</w:t>
            </w:r>
          </w:p>
        </w:tc>
        <w:tc>
          <w:tcPr>
            <w:tcW w:w="1087" w:type="dxa"/>
            <w:shd w:val="clear" w:color="auto" w:fill="B9E0F7" w:themeFill="accent5"/>
            <w:vAlign w:val="center"/>
          </w:tcPr>
          <w:p w14:paraId="1B2B0984" w14:textId="77777777" w:rsidR="00353A80" w:rsidRPr="007C1F2C" w:rsidRDefault="00353A80" w:rsidP="002342AB">
            <w:pPr>
              <w:spacing w:before="240" w:after="0" w:line="240" w:lineRule="auto"/>
              <w:jc w:val="center"/>
              <w:rPr>
                <w:rFonts w:ascii="Calibri" w:eastAsia="Times New Roman" w:hAnsi="Calibri" w:cs="Times New Roman"/>
                <w:color w:val="000000"/>
                <w:lang w:eastAsia="cs-CZ"/>
              </w:rPr>
            </w:pPr>
            <w:r w:rsidRPr="007C1F2C">
              <w:rPr>
                <w:rFonts w:ascii="Calibri" w:eastAsia="Times New Roman" w:hAnsi="Calibri" w:cs="Times New Roman"/>
                <w:color w:val="000000"/>
                <w:lang w:eastAsia="cs-CZ"/>
              </w:rPr>
              <w:t>Náklady (mil. Kč)</w:t>
            </w:r>
          </w:p>
        </w:tc>
        <w:tc>
          <w:tcPr>
            <w:tcW w:w="944" w:type="dxa"/>
            <w:shd w:val="clear" w:color="auto" w:fill="B9E0F7" w:themeFill="accent5"/>
            <w:vAlign w:val="center"/>
          </w:tcPr>
          <w:p w14:paraId="5D18DE66" w14:textId="77777777" w:rsidR="00353A80" w:rsidRPr="001C50C6" w:rsidRDefault="00353A80" w:rsidP="002342AB">
            <w:pPr>
              <w:spacing w:before="240" w:after="0" w:line="240" w:lineRule="auto"/>
              <w:jc w:val="center"/>
              <w:rPr>
                <w:rFonts w:ascii="Calibri" w:eastAsia="Times New Roman" w:hAnsi="Calibri" w:cs="Times New Roman"/>
                <w:color w:val="000000"/>
                <w:lang w:eastAsia="cs-CZ"/>
              </w:rPr>
            </w:pPr>
            <w:r w:rsidRPr="001C50C6">
              <w:rPr>
                <w:rFonts w:ascii="Calibri" w:eastAsia="Times New Roman" w:hAnsi="Calibri" w:cs="Times New Roman"/>
                <w:color w:val="000000"/>
                <w:lang w:eastAsia="cs-CZ"/>
              </w:rPr>
              <w:t>Počet žádostí</w:t>
            </w:r>
          </w:p>
        </w:tc>
        <w:tc>
          <w:tcPr>
            <w:tcW w:w="1087" w:type="dxa"/>
            <w:shd w:val="clear" w:color="auto" w:fill="B9E0F7" w:themeFill="accent5"/>
            <w:vAlign w:val="center"/>
          </w:tcPr>
          <w:p w14:paraId="1E18D9E8" w14:textId="238262DD" w:rsidR="00353A80" w:rsidRPr="001C50C6" w:rsidRDefault="00353A80" w:rsidP="002342AB">
            <w:pPr>
              <w:spacing w:before="240" w:after="0" w:line="240" w:lineRule="auto"/>
              <w:jc w:val="center"/>
              <w:rPr>
                <w:rFonts w:ascii="Calibri" w:eastAsia="Times New Roman" w:hAnsi="Calibri" w:cs="Times New Roman"/>
                <w:color w:val="000000"/>
                <w:lang w:eastAsia="cs-CZ"/>
              </w:rPr>
            </w:pPr>
            <w:r w:rsidRPr="001C50C6">
              <w:rPr>
                <w:rFonts w:ascii="Calibri" w:eastAsia="Times New Roman" w:hAnsi="Calibri" w:cs="Times New Roman"/>
                <w:color w:val="000000"/>
                <w:lang w:eastAsia="cs-CZ"/>
              </w:rPr>
              <w:t>Úspěšnost žádostí</w:t>
            </w:r>
          </w:p>
        </w:tc>
      </w:tr>
      <w:tr w:rsidR="00793242" w:rsidRPr="007C1F2C" w14:paraId="691F4656" w14:textId="77777777" w:rsidTr="0011699E">
        <w:trPr>
          <w:trHeight w:val="340"/>
        </w:trPr>
        <w:tc>
          <w:tcPr>
            <w:tcW w:w="2263" w:type="dxa"/>
            <w:shd w:val="clear" w:color="auto" w:fill="auto"/>
            <w:noWrap/>
            <w:vAlign w:val="center"/>
          </w:tcPr>
          <w:p w14:paraId="67E63EDA" w14:textId="236600C9"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Jihomoravský kraj</w:t>
            </w:r>
          </w:p>
        </w:tc>
        <w:tc>
          <w:tcPr>
            <w:tcW w:w="992" w:type="dxa"/>
            <w:shd w:val="clear" w:color="auto" w:fill="auto"/>
            <w:vAlign w:val="center"/>
          </w:tcPr>
          <w:p w14:paraId="07062E1B" w14:textId="100B20FC"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163</w:t>
            </w:r>
          </w:p>
        </w:tc>
        <w:tc>
          <w:tcPr>
            <w:tcW w:w="709" w:type="dxa"/>
            <w:shd w:val="clear" w:color="auto" w:fill="auto"/>
            <w:vAlign w:val="center"/>
          </w:tcPr>
          <w:p w14:paraId="13236D6C" w14:textId="15FD12AE"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95</w:t>
            </w:r>
          </w:p>
        </w:tc>
        <w:tc>
          <w:tcPr>
            <w:tcW w:w="850" w:type="dxa"/>
            <w:shd w:val="clear" w:color="auto" w:fill="auto"/>
            <w:vAlign w:val="center"/>
          </w:tcPr>
          <w:p w14:paraId="512970C5" w14:textId="0931411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29</w:t>
            </w:r>
          </w:p>
        </w:tc>
        <w:tc>
          <w:tcPr>
            <w:tcW w:w="851" w:type="dxa"/>
            <w:shd w:val="clear" w:color="auto" w:fill="auto"/>
            <w:vAlign w:val="center"/>
          </w:tcPr>
          <w:p w14:paraId="3DD819AC" w14:textId="4199D48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39</w:t>
            </w:r>
          </w:p>
        </w:tc>
        <w:tc>
          <w:tcPr>
            <w:tcW w:w="1087" w:type="dxa"/>
            <w:shd w:val="clear" w:color="auto" w:fill="auto"/>
            <w:vAlign w:val="center"/>
          </w:tcPr>
          <w:p w14:paraId="265DA8BD" w14:textId="28C25A5B"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2 523</w:t>
            </w:r>
          </w:p>
        </w:tc>
        <w:tc>
          <w:tcPr>
            <w:tcW w:w="1087" w:type="dxa"/>
            <w:shd w:val="clear" w:color="auto" w:fill="auto"/>
            <w:vAlign w:val="center"/>
          </w:tcPr>
          <w:p w14:paraId="721F188C" w14:textId="7D1A633B"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w:t>
            </w:r>
            <w:r w:rsidR="00AB4A9C">
              <w:rPr>
                <w:rFonts w:ascii="Calibri" w:hAnsi="Calibri" w:cs="Calibri"/>
                <w:color w:val="000000"/>
              </w:rPr>
              <w:t xml:space="preserve"> </w:t>
            </w:r>
            <w:r>
              <w:rPr>
                <w:rFonts w:ascii="Calibri" w:hAnsi="Calibri" w:cs="Calibri"/>
                <w:color w:val="000000"/>
              </w:rPr>
              <w:t>859</w:t>
            </w:r>
          </w:p>
        </w:tc>
        <w:tc>
          <w:tcPr>
            <w:tcW w:w="944" w:type="dxa"/>
            <w:vAlign w:val="center"/>
          </w:tcPr>
          <w:p w14:paraId="2DFDB469" w14:textId="39809CB1" w:rsidR="00793242" w:rsidRPr="00F5785C" w:rsidRDefault="00793242" w:rsidP="00793242">
            <w:pPr>
              <w:spacing w:after="0" w:line="240" w:lineRule="auto"/>
              <w:jc w:val="right"/>
              <w:rPr>
                <w:rFonts w:ascii="Calibri" w:hAnsi="Calibri" w:cs="Calibri"/>
              </w:rPr>
            </w:pPr>
            <w:r>
              <w:rPr>
                <w:rFonts w:ascii="Calibri" w:hAnsi="Calibri" w:cs="Calibri"/>
                <w:color w:val="000000"/>
              </w:rPr>
              <w:t>507</w:t>
            </w:r>
          </w:p>
        </w:tc>
        <w:tc>
          <w:tcPr>
            <w:tcW w:w="1087" w:type="dxa"/>
            <w:vAlign w:val="center"/>
          </w:tcPr>
          <w:p w14:paraId="78FEFC3A" w14:textId="785DD633"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32</w:t>
            </w:r>
            <w:r w:rsidR="00AB4A9C">
              <w:rPr>
                <w:rFonts w:ascii="Calibri" w:hAnsi="Calibri" w:cs="Calibri"/>
                <w:color w:val="000000"/>
              </w:rPr>
              <w:t xml:space="preserve"> </w:t>
            </w:r>
            <w:r>
              <w:rPr>
                <w:rFonts w:ascii="Calibri" w:hAnsi="Calibri" w:cs="Calibri"/>
                <w:color w:val="000000"/>
              </w:rPr>
              <w:t>%</w:t>
            </w:r>
          </w:p>
        </w:tc>
      </w:tr>
      <w:tr w:rsidR="00793242" w:rsidRPr="007C1F2C" w14:paraId="1F185842" w14:textId="77777777" w:rsidTr="0011699E">
        <w:trPr>
          <w:trHeight w:val="340"/>
        </w:trPr>
        <w:tc>
          <w:tcPr>
            <w:tcW w:w="2263" w:type="dxa"/>
            <w:shd w:val="clear" w:color="auto" w:fill="auto"/>
            <w:noWrap/>
            <w:vAlign w:val="center"/>
          </w:tcPr>
          <w:p w14:paraId="6FDA4873" w14:textId="6DDC9168"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Hlavní město Praha</w:t>
            </w:r>
          </w:p>
        </w:tc>
        <w:tc>
          <w:tcPr>
            <w:tcW w:w="992" w:type="dxa"/>
            <w:shd w:val="clear" w:color="auto" w:fill="auto"/>
            <w:vAlign w:val="center"/>
          </w:tcPr>
          <w:p w14:paraId="241A639B" w14:textId="00C332F6"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114</w:t>
            </w:r>
          </w:p>
        </w:tc>
        <w:tc>
          <w:tcPr>
            <w:tcW w:w="709" w:type="dxa"/>
            <w:shd w:val="clear" w:color="auto" w:fill="auto"/>
            <w:vAlign w:val="center"/>
          </w:tcPr>
          <w:p w14:paraId="236C06A7" w14:textId="799ACC22"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66</w:t>
            </w:r>
          </w:p>
        </w:tc>
        <w:tc>
          <w:tcPr>
            <w:tcW w:w="850" w:type="dxa"/>
            <w:shd w:val="clear" w:color="auto" w:fill="auto"/>
            <w:vAlign w:val="center"/>
          </w:tcPr>
          <w:p w14:paraId="02480A3D" w14:textId="5B86B93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28</w:t>
            </w:r>
          </w:p>
        </w:tc>
        <w:tc>
          <w:tcPr>
            <w:tcW w:w="851" w:type="dxa"/>
            <w:shd w:val="clear" w:color="auto" w:fill="auto"/>
            <w:vAlign w:val="center"/>
          </w:tcPr>
          <w:p w14:paraId="20BD8A46" w14:textId="429639F3"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20</w:t>
            </w:r>
          </w:p>
        </w:tc>
        <w:tc>
          <w:tcPr>
            <w:tcW w:w="1087" w:type="dxa"/>
            <w:shd w:val="clear" w:color="auto" w:fill="auto"/>
            <w:vAlign w:val="center"/>
          </w:tcPr>
          <w:p w14:paraId="226E572E" w14:textId="5A7B84FC"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1 557</w:t>
            </w:r>
          </w:p>
        </w:tc>
        <w:tc>
          <w:tcPr>
            <w:tcW w:w="1087" w:type="dxa"/>
            <w:shd w:val="clear" w:color="auto" w:fill="auto"/>
            <w:vAlign w:val="center"/>
          </w:tcPr>
          <w:p w14:paraId="7E134F95" w14:textId="4FA9AA56"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2 383</w:t>
            </w:r>
          </w:p>
        </w:tc>
        <w:tc>
          <w:tcPr>
            <w:tcW w:w="944" w:type="dxa"/>
            <w:vAlign w:val="center"/>
          </w:tcPr>
          <w:p w14:paraId="45E0F918" w14:textId="1839F406" w:rsidR="00793242" w:rsidRPr="00F5785C" w:rsidRDefault="00793242" w:rsidP="00793242">
            <w:pPr>
              <w:spacing w:after="0" w:line="240" w:lineRule="auto"/>
              <w:jc w:val="right"/>
              <w:rPr>
                <w:rFonts w:ascii="Calibri" w:hAnsi="Calibri" w:cs="Calibri"/>
              </w:rPr>
            </w:pPr>
            <w:r>
              <w:rPr>
                <w:rFonts w:ascii="Calibri" w:hAnsi="Calibri" w:cs="Calibri"/>
                <w:color w:val="000000"/>
              </w:rPr>
              <w:t>432</w:t>
            </w:r>
          </w:p>
        </w:tc>
        <w:tc>
          <w:tcPr>
            <w:tcW w:w="1087" w:type="dxa"/>
            <w:vAlign w:val="center"/>
          </w:tcPr>
          <w:p w14:paraId="62C0F232" w14:textId="42EF67D3"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26</w:t>
            </w:r>
            <w:r w:rsidR="00AB4A9C">
              <w:rPr>
                <w:rFonts w:ascii="Calibri" w:hAnsi="Calibri" w:cs="Calibri"/>
                <w:color w:val="000000"/>
              </w:rPr>
              <w:t xml:space="preserve"> </w:t>
            </w:r>
            <w:r>
              <w:rPr>
                <w:rFonts w:ascii="Calibri" w:hAnsi="Calibri" w:cs="Calibri"/>
                <w:color w:val="000000"/>
              </w:rPr>
              <w:t>%</w:t>
            </w:r>
          </w:p>
        </w:tc>
      </w:tr>
      <w:tr w:rsidR="00793242" w:rsidRPr="007C1F2C" w14:paraId="06679313" w14:textId="77777777" w:rsidTr="0011699E">
        <w:trPr>
          <w:trHeight w:val="340"/>
        </w:trPr>
        <w:tc>
          <w:tcPr>
            <w:tcW w:w="2263" w:type="dxa"/>
            <w:shd w:val="clear" w:color="auto" w:fill="auto"/>
            <w:noWrap/>
            <w:vAlign w:val="center"/>
          </w:tcPr>
          <w:p w14:paraId="03FEABA1" w14:textId="52683DA9"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Moravskoslezský kraj</w:t>
            </w:r>
          </w:p>
        </w:tc>
        <w:tc>
          <w:tcPr>
            <w:tcW w:w="992" w:type="dxa"/>
            <w:shd w:val="clear" w:color="auto" w:fill="auto"/>
            <w:vAlign w:val="center"/>
          </w:tcPr>
          <w:p w14:paraId="5C0AF62F" w14:textId="3AF88992"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69</w:t>
            </w:r>
          </w:p>
        </w:tc>
        <w:tc>
          <w:tcPr>
            <w:tcW w:w="709" w:type="dxa"/>
            <w:shd w:val="clear" w:color="auto" w:fill="auto"/>
            <w:vAlign w:val="center"/>
          </w:tcPr>
          <w:p w14:paraId="2B9359D8" w14:textId="6BC2883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36</w:t>
            </w:r>
          </w:p>
        </w:tc>
        <w:tc>
          <w:tcPr>
            <w:tcW w:w="850" w:type="dxa"/>
            <w:shd w:val="clear" w:color="auto" w:fill="auto"/>
            <w:vAlign w:val="center"/>
          </w:tcPr>
          <w:p w14:paraId="4EEA751B" w14:textId="7AEAA41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16</w:t>
            </w:r>
          </w:p>
        </w:tc>
        <w:tc>
          <w:tcPr>
            <w:tcW w:w="851" w:type="dxa"/>
            <w:shd w:val="clear" w:color="auto" w:fill="auto"/>
            <w:vAlign w:val="center"/>
          </w:tcPr>
          <w:p w14:paraId="139B6B25" w14:textId="16A6509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17</w:t>
            </w:r>
          </w:p>
        </w:tc>
        <w:tc>
          <w:tcPr>
            <w:tcW w:w="1087" w:type="dxa"/>
            <w:shd w:val="clear" w:color="auto" w:fill="auto"/>
            <w:vAlign w:val="center"/>
          </w:tcPr>
          <w:p w14:paraId="4C6A3837" w14:textId="20EFBE0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1 068</w:t>
            </w:r>
          </w:p>
        </w:tc>
        <w:tc>
          <w:tcPr>
            <w:tcW w:w="1087" w:type="dxa"/>
            <w:shd w:val="clear" w:color="auto" w:fill="auto"/>
            <w:vAlign w:val="center"/>
          </w:tcPr>
          <w:p w14:paraId="21FB84A7" w14:textId="285AFB7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1 643</w:t>
            </w:r>
          </w:p>
        </w:tc>
        <w:tc>
          <w:tcPr>
            <w:tcW w:w="944" w:type="dxa"/>
            <w:vAlign w:val="center"/>
          </w:tcPr>
          <w:p w14:paraId="491CB902" w14:textId="056E6DED" w:rsidR="00793242" w:rsidRPr="00F5785C" w:rsidRDefault="00793242" w:rsidP="00793242">
            <w:pPr>
              <w:spacing w:after="0" w:line="240" w:lineRule="auto"/>
              <w:jc w:val="right"/>
              <w:rPr>
                <w:rFonts w:ascii="Calibri" w:hAnsi="Calibri" w:cs="Calibri"/>
              </w:rPr>
            </w:pPr>
            <w:r>
              <w:rPr>
                <w:rFonts w:ascii="Calibri" w:hAnsi="Calibri" w:cs="Calibri"/>
                <w:color w:val="000000"/>
              </w:rPr>
              <w:t>239</w:t>
            </w:r>
          </w:p>
        </w:tc>
        <w:tc>
          <w:tcPr>
            <w:tcW w:w="1087" w:type="dxa"/>
            <w:vAlign w:val="center"/>
          </w:tcPr>
          <w:p w14:paraId="6DF2605C" w14:textId="756EE8E2"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29</w:t>
            </w:r>
            <w:r w:rsidR="00AB4A9C">
              <w:rPr>
                <w:rFonts w:ascii="Calibri" w:hAnsi="Calibri" w:cs="Calibri"/>
                <w:color w:val="000000"/>
              </w:rPr>
              <w:t xml:space="preserve"> </w:t>
            </w:r>
            <w:r>
              <w:rPr>
                <w:rFonts w:ascii="Calibri" w:hAnsi="Calibri" w:cs="Calibri"/>
                <w:color w:val="000000"/>
              </w:rPr>
              <w:t>%</w:t>
            </w:r>
          </w:p>
        </w:tc>
      </w:tr>
      <w:tr w:rsidR="00793242" w:rsidRPr="007C1F2C" w14:paraId="02244381" w14:textId="77777777" w:rsidTr="0011699E">
        <w:trPr>
          <w:trHeight w:val="340"/>
        </w:trPr>
        <w:tc>
          <w:tcPr>
            <w:tcW w:w="2263" w:type="dxa"/>
            <w:shd w:val="clear" w:color="auto" w:fill="auto"/>
            <w:noWrap/>
            <w:vAlign w:val="center"/>
          </w:tcPr>
          <w:p w14:paraId="4E81F7E0" w14:textId="3C09E16A" w:rsidR="00793242" w:rsidRPr="008519CC" w:rsidRDefault="00793242" w:rsidP="00793242">
            <w:pPr>
              <w:spacing w:after="0" w:line="240" w:lineRule="auto"/>
              <w:rPr>
                <w:rFonts w:ascii="Calibri" w:hAnsi="Calibri" w:cs="Calibri"/>
                <w:color w:val="000000"/>
              </w:rPr>
            </w:pPr>
            <w:r w:rsidRPr="008519CC">
              <w:rPr>
                <w:rFonts w:ascii="Calibri" w:hAnsi="Calibri" w:cs="Calibri"/>
                <w:color w:val="000000"/>
              </w:rPr>
              <w:t>Středočeský</w:t>
            </w:r>
            <w:r>
              <w:rPr>
                <w:rFonts w:ascii="Calibri" w:hAnsi="Calibri" w:cs="Calibri"/>
                <w:color w:val="000000"/>
              </w:rPr>
              <w:t xml:space="preserve"> kraj</w:t>
            </w:r>
          </w:p>
        </w:tc>
        <w:tc>
          <w:tcPr>
            <w:tcW w:w="992" w:type="dxa"/>
            <w:shd w:val="clear" w:color="auto" w:fill="auto"/>
            <w:vAlign w:val="center"/>
          </w:tcPr>
          <w:p w14:paraId="6B0F1A26" w14:textId="2E36083D"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65</w:t>
            </w:r>
          </w:p>
        </w:tc>
        <w:tc>
          <w:tcPr>
            <w:tcW w:w="709" w:type="dxa"/>
            <w:shd w:val="clear" w:color="auto" w:fill="auto"/>
            <w:vAlign w:val="center"/>
          </w:tcPr>
          <w:p w14:paraId="3D6B1279" w14:textId="69E6E71F"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38</w:t>
            </w:r>
          </w:p>
        </w:tc>
        <w:tc>
          <w:tcPr>
            <w:tcW w:w="850" w:type="dxa"/>
            <w:shd w:val="clear" w:color="auto" w:fill="auto"/>
            <w:vAlign w:val="center"/>
          </w:tcPr>
          <w:p w14:paraId="4FB090BC" w14:textId="7760FA31"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7</w:t>
            </w:r>
          </w:p>
        </w:tc>
        <w:tc>
          <w:tcPr>
            <w:tcW w:w="851" w:type="dxa"/>
            <w:shd w:val="clear" w:color="auto" w:fill="auto"/>
            <w:vAlign w:val="center"/>
          </w:tcPr>
          <w:p w14:paraId="43AD61E6" w14:textId="5E6B219C"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20</w:t>
            </w:r>
          </w:p>
        </w:tc>
        <w:tc>
          <w:tcPr>
            <w:tcW w:w="1087" w:type="dxa"/>
            <w:shd w:val="clear" w:color="auto" w:fill="auto"/>
            <w:vAlign w:val="center"/>
          </w:tcPr>
          <w:p w14:paraId="6D919A14" w14:textId="0ED86CA5"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1 074</w:t>
            </w:r>
          </w:p>
        </w:tc>
        <w:tc>
          <w:tcPr>
            <w:tcW w:w="1087" w:type="dxa"/>
            <w:shd w:val="clear" w:color="auto" w:fill="auto"/>
            <w:vAlign w:val="center"/>
          </w:tcPr>
          <w:p w14:paraId="05D0F631" w14:textId="5276C090"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1 602</w:t>
            </w:r>
          </w:p>
        </w:tc>
        <w:tc>
          <w:tcPr>
            <w:tcW w:w="944" w:type="dxa"/>
            <w:shd w:val="clear" w:color="auto" w:fill="auto"/>
            <w:vAlign w:val="center"/>
          </w:tcPr>
          <w:p w14:paraId="3C817245" w14:textId="4EF54898"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249</w:t>
            </w:r>
          </w:p>
        </w:tc>
        <w:tc>
          <w:tcPr>
            <w:tcW w:w="1087" w:type="dxa"/>
            <w:shd w:val="clear" w:color="auto" w:fill="auto"/>
            <w:vAlign w:val="center"/>
          </w:tcPr>
          <w:p w14:paraId="4D098AF2" w14:textId="3AE92122" w:rsidR="00793242" w:rsidRPr="008519CC" w:rsidRDefault="00793242" w:rsidP="00793242">
            <w:pPr>
              <w:spacing w:after="0" w:line="240" w:lineRule="auto"/>
              <w:jc w:val="right"/>
              <w:rPr>
                <w:rFonts w:ascii="Calibri" w:hAnsi="Calibri" w:cs="Calibri"/>
                <w:color w:val="000000"/>
              </w:rPr>
            </w:pPr>
            <w:r>
              <w:rPr>
                <w:rFonts w:ascii="Calibri" w:hAnsi="Calibri" w:cs="Calibri"/>
                <w:color w:val="000000"/>
              </w:rPr>
              <w:t>26</w:t>
            </w:r>
            <w:r w:rsidR="00AB4A9C">
              <w:rPr>
                <w:rFonts w:ascii="Calibri" w:hAnsi="Calibri" w:cs="Calibri"/>
                <w:color w:val="000000"/>
              </w:rPr>
              <w:t xml:space="preserve"> </w:t>
            </w:r>
            <w:r>
              <w:rPr>
                <w:rFonts w:ascii="Calibri" w:hAnsi="Calibri" w:cs="Calibri"/>
                <w:color w:val="000000"/>
              </w:rPr>
              <w:t>%</w:t>
            </w:r>
          </w:p>
        </w:tc>
      </w:tr>
      <w:tr w:rsidR="00793242" w:rsidRPr="007C1F2C" w14:paraId="237165C6" w14:textId="77777777" w:rsidTr="0011699E">
        <w:trPr>
          <w:trHeight w:val="340"/>
        </w:trPr>
        <w:tc>
          <w:tcPr>
            <w:tcW w:w="2263" w:type="dxa"/>
            <w:shd w:val="clear" w:color="auto" w:fill="auto"/>
            <w:noWrap/>
            <w:vAlign w:val="center"/>
          </w:tcPr>
          <w:p w14:paraId="443E5A52" w14:textId="2622641C"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Ústecký kraj</w:t>
            </w:r>
          </w:p>
        </w:tc>
        <w:tc>
          <w:tcPr>
            <w:tcW w:w="992" w:type="dxa"/>
            <w:shd w:val="clear" w:color="auto" w:fill="auto"/>
            <w:vAlign w:val="center"/>
          </w:tcPr>
          <w:p w14:paraId="271BC6F2" w14:textId="6CEF8755"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37</w:t>
            </w:r>
          </w:p>
        </w:tc>
        <w:tc>
          <w:tcPr>
            <w:tcW w:w="709" w:type="dxa"/>
            <w:shd w:val="clear" w:color="auto" w:fill="auto"/>
            <w:vAlign w:val="center"/>
          </w:tcPr>
          <w:p w14:paraId="6FAC0382" w14:textId="3C27C28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12</w:t>
            </w:r>
          </w:p>
        </w:tc>
        <w:tc>
          <w:tcPr>
            <w:tcW w:w="850" w:type="dxa"/>
            <w:shd w:val="clear" w:color="auto" w:fill="auto"/>
            <w:vAlign w:val="center"/>
          </w:tcPr>
          <w:p w14:paraId="350F8B03" w14:textId="5C5EE8F2"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851" w:type="dxa"/>
            <w:shd w:val="clear" w:color="auto" w:fill="auto"/>
            <w:vAlign w:val="center"/>
          </w:tcPr>
          <w:p w14:paraId="3054C470" w14:textId="401B6A53"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14</w:t>
            </w:r>
          </w:p>
        </w:tc>
        <w:tc>
          <w:tcPr>
            <w:tcW w:w="1087" w:type="dxa"/>
            <w:shd w:val="clear" w:color="auto" w:fill="auto"/>
            <w:vAlign w:val="center"/>
          </w:tcPr>
          <w:p w14:paraId="3F00C811" w14:textId="76CAC6E5"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682</w:t>
            </w:r>
          </w:p>
        </w:tc>
        <w:tc>
          <w:tcPr>
            <w:tcW w:w="1087" w:type="dxa"/>
            <w:shd w:val="clear" w:color="auto" w:fill="auto"/>
            <w:vAlign w:val="center"/>
          </w:tcPr>
          <w:p w14:paraId="1C0803AD" w14:textId="419C1984"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1 010</w:t>
            </w:r>
          </w:p>
        </w:tc>
        <w:tc>
          <w:tcPr>
            <w:tcW w:w="944" w:type="dxa"/>
            <w:shd w:val="clear" w:color="auto" w:fill="auto"/>
            <w:vAlign w:val="center"/>
          </w:tcPr>
          <w:p w14:paraId="7A81D2F8" w14:textId="1C8BA9C2" w:rsidR="00793242" w:rsidRPr="00F5785C" w:rsidRDefault="00793242" w:rsidP="00793242">
            <w:pPr>
              <w:spacing w:after="0" w:line="240" w:lineRule="auto"/>
              <w:jc w:val="right"/>
              <w:rPr>
                <w:rFonts w:ascii="Calibri" w:hAnsi="Calibri" w:cs="Calibri"/>
              </w:rPr>
            </w:pPr>
            <w:r>
              <w:rPr>
                <w:rFonts w:ascii="Calibri" w:hAnsi="Calibri" w:cs="Calibri"/>
                <w:color w:val="000000"/>
              </w:rPr>
              <w:t>124</w:t>
            </w:r>
          </w:p>
        </w:tc>
        <w:tc>
          <w:tcPr>
            <w:tcW w:w="1087" w:type="dxa"/>
            <w:shd w:val="clear" w:color="auto" w:fill="auto"/>
            <w:vAlign w:val="center"/>
          </w:tcPr>
          <w:p w14:paraId="61876D1A" w14:textId="1CA8F915" w:rsidR="00793242" w:rsidRPr="00F5785C" w:rsidRDefault="00793242" w:rsidP="00793242">
            <w:pPr>
              <w:spacing w:after="0" w:line="240" w:lineRule="auto"/>
              <w:jc w:val="right"/>
              <w:rPr>
                <w:rFonts w:ascii="Calibri" w:hAnsi="Calibri" w:cs="Calibri"/>
              </w:rPr>
            </w:pPr>
            <w:r>
              <w:rPr>
                <w:rFonts w:ascii="Calibri" w:hAnsi="Calibri" w:cs="Calibri"/>
                <w:color w:val="000000"/>
              </w:rPr>
              <w:t>30</w:t>
            </w:r>
            <w:r w:rsidR="00AB4A9C">
              <w:rPr>
                <w:rFonts w:ascii="Calibri" w:hAnsi="Calibri" w:cs="Calibri"/>
                <w:color w:val="000000"/>
              </w:rPr>
              <w:t xml:space="preserve"> </w:t>
            </w:r>
            <w:r>
              <w:rPr>
                <w:rFonts w:ascii="Calibri" w:hAnsi="Calibri" w:cs="Calibri"/>
                <w:color w:val="000000"/>
              </w:rPr>
              <w:t>%</w:t>
            </w:r>
          </w:p>
        </w:tc>
      </w:tr>
      <w:tr w:rsidR="00793242" w:rsidRPr="007C1F2C" w14:paraId="276060E3" w14:textId="77777777" w:rsidTr="0011699E">
        <w:trPr>
          <w:trHeight w:val="340"/>
        </w:trPr>
        <w:tc>
          <w:tcPr>
            <w:tcW w:w="2263" w:type="dxa"/>
            <w:shd w:val="clear" w:color="auto" w:fill="auto"/>
            <w:noWrap/>
            <w:vAlign w:val="center"/>
          </w:tcPr>
          <w:p w14:paraId="505A22E9" w14:textId="302E9F60" w:rsidR="00793242" w:rsidRPr="007933D9" w:rsidRDefault="00793242" w:rsidP="00793242">
            <w:pPr>
              <w:spacing w:after="0" w:line="240" w:lineRule="auto"/>
              <w:rPr>
                <w:rFonts w:ascii="Calibri" w:hAnsi="Calibri" w:cs="Calibri"/>
                <w:color w:val="000000"/>
              </w:rPr>
            </w:pPr>
            <w:r>
              <w:rPr>
                <w:rFonts w:ascii="Calibri" w:hAnsi="Calibri" w:cs="Calibri"/>
                <w:color w:val="000000"/>
              </w:rPr>
              <w:t>Královéhradecký kraj</w:t>
            </w:r>
          </w:p>
        </w:tc>
        <w:tc>
          <w:tcPr>
            <w:tcW w:w="992" w:type="dxa"/>
            <w:shd w:val="clear" w:color="auto" w:fill="auto"/>
            <w:vAlign w:val="center"/>
          </w:tcPr>
          <w:p w14:paraId="2CFA3783" w14:textId="6013FA71"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34</w:t>
            </w:r>
          </w:p>
        </w:tc>
        <w:tc>
          <w:tcPr>
            <w:tcW w:w="709" w:type="dxa"/>
            <w:shd w:val="clear" w:color="auto" w:fill="auto"/>
            <w:vAlign w:val="center"/>
          </w:tcPr>
          <w:p w14:paraId="16306187" w14:textId="797BB8EF"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9</w:t>
            </w:r>
          </w:p>
        </w:tc>
        <w:tc>
          <w:tcPr>
            <w:tcW w:w="850" w:type="dxa"/>
            <w:shd w:val="clear" w:color="auto" w:fill="auto"/>
            <w:vAlign w:val="center"/>
          </w:tcPr>
          <w:p w14:paraId="591A2FB7" w14:textId="1A729AA5"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12</w:t>
            </w:r>
          </w:p>
        </w:tc>
        <w:tc>
          <w:tcPr>
            <w:tcW w:w="851" w:type="dxa"/>
            <w:shd w:val="clear" w:color="auto" w:fill="auto"/>
            <w:vAlign w:val="center"/>
          </w:tcPr>
          <w:p w14:paraId="5CA557BF" w14:textId="39A35C1F"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13</w:t>
            </w:r>
          </w:p>
        </w:tc>
        <w:tc>
          <w:tcPr>
            <w:tcW w:w="1087" w:type="dxa"/>
            <w:shd w:val="clear" w:color="auto" w:fill="auto"/>
            <w:vAlign w:val="center"/>
          </w:tcPr>
          <w:p w14:paraId="4E24132D" w14:textId="4B11E33C"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502</w:t>
            </w:r>
          </w:p>
        </w:tc>
        <w:tc>
          <w:tcPr>
            <w:tcW w:w="1087" w:type="dxa"/>
            <w:shd w:val="clear" w:color="auto" w:fill="auto"/>
            <w:vAlign w:val="center"/>
          </w:tcPr>
          <w:p w14:paraId="5900888D" w14:textId="084743B3"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772</w:t>
            </w:r>
          </w:p>
        </w:tc>
        <w:tc>
          <w:tcPr>
            <w:tcW w:w="944" w:type="dxa"/>
            <w:vAlign w:val="center"/>
          </w:tcPr>
          <w:p w14:paraId="048375F3" w14:textId="30FCE7C5"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96</w:t>
            </w:r>
          </w:p>
        </w:tc>
        <w:tc>
          <w:tcPr>
            <w:tcW w:w="1087" w:type="dxa"/>
            <w:vAlign w:val="center"/>
          </w:tcPr>
          <w:p w14:paraId="42508DE5" w14:textId="19686B67"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35</w:t>
            </w:r>
            <w:r w:rsidR="00AB4A9C">
              <w:rPr>
                <w:rFonts w:ascii="Calibri" w:hAnsi="Calibri" w:cs="Calibri"/>
                <w:color w:val="000000"/>
              </w:rPr>
              <w:t xml:space="preserve"> </w:t>
            </w:r>
            <w:r>
              <w:rPr>
                <w:rFonts w:ascii="Calibri" w:hAnsi="Calibri" w:cs="Calibri"/>
                <w:color w:val="000000"/>
              </w:rPr>
              <w:t>%</w:t>
            </w:r>
          </w:p>
        </w:tc>
      </w:tr>
      <w:tr w:rsidR="00793242" w:rsidRPr="007C1F2C" w14:paraId="0D0023A5" w14:textId="77777777" w:rsidTr="0011699E">
        <w:trPr>
          <w:trHeight w:val="340"/>
        </w:trPr>
        <w:tc>
          <w:tcPr>
            <w:tcW w:w="2263" w:type="dxa"/>
            <w:shd w:val="clear" w:color="auto" w:fill="auto"/>
            <w:noWrap/>
            <w:vAlign w:val="center"/>
          </w:tcPr>
          <w:p w14:paraId="37719E03" w14:textId="3836244A"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Liberecký kraj</w:t>
            </w:r>
          </w:p>
        </w:tc>
        <w:tc>
          <w:tcPr>
            <w:tcW w:w="992" w:type="dxa"/>
            <w:shd w:val="clear" w:color="auto" w:fill="auto"/>
            <w:vAlign w:val="center"/>
          </w:tcPr>
          <w:p w14:paraId="1CC79FC0" w14:textId="30C62D4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33</w:t>
            </w:r>
          </w:p>
        </w:tc>
        <w:tc>
          <w:tcPr>
            <w:tcW w:w="709" w:type="dxa"/>
            <w:shd w:val="clear" w:color="auto" w:fill="auto"/>
            <w:vAlign w:val="center"/>
          </w:tcPr>
          <w:p w14:paraId="3148473E" w14:textId="3DC2E164"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13</w:t>
            </w:r>
          </w:p>
        </w:tc>
        <w:tc>
          <w:tcPr>
            <w:tcW w:w="850" w:type="dxa"/>
            <w:shd w:val="clear" w:color="auto" w:fill="auto"/>
            <w:vAlign w:val="center"/>
          </w:tcPr>
          <w:p w14:paraId="3CE1DBBB" w14:textId="32EED0C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16</w:t>
            </w:r>
          </w:p>
        </w:tc>
        <w:tc>
          <w:tcPr>
            <w:tcW w:w="851" w:type="dxa"/>
            <w:shd w:val="clear" w:color="auto" w:fill="auto"/>
            <w:vAlign w:val="center"/>
          </w:tcPr>
          <w:p w14:paraId="3FB77657" w14:textId="0ECC28CE"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4</w:t>
            </w:r>
          </w:p>
        </w:tc>
        <w:tc>
          <w:tcPr>
            <w:tcW w:w="1087" w:type="dxa"/>
            <w:shd w:val="clear" w:color="auto" w:fill="auto"/>
            <w:vAlign w:val="center"/>
          </w:tcPr>
          <w:p w14:paraId="7C43C689" w14:textId="784D9DCE"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519</w:t>
            </w:r>
          </w:p>
        </w:tc>
        <w:tc>
          <w:tcPr>
            <w:tcW w:w="1087" w:type="dxa"/>
            <w:shd w:val="clear" w:color="auto" w:fill="auto"/>
            <w:vAlign w:val="center"/>
          </w:tcPr>
          <w:p w14:paraId="4F247B4B" w14:textId="54ABD7ED"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847</w:t>
            </w:r>
          </w:p>
        </w:tc>
        <w:tc>
          <w:tcPr>
            <w:tcW w:w="944" w:type="dxa"/>
            <w:vAlign w:val="center"/>
          </w:tcPr>
          <w:p w14:paraId="459ABA19" w14:textId="49461764" w:rsidR="00793242" w:rsidRPr="00F5785C" w:rsidRDefault="00793242" w:rsidP="00793242">
            <w:pPr>
              <w:spacing w:after="0" w:line="240" w:lineRule="auto"/>
              <w:jc w:val="right"/>
              <w:rPr>
                <w:rFonts w:ascii="Calibri" w:hAnsi="Calibri" w:cs="Calibri"/>
              </w:rPr>
            </w:pPr>
            <w:r>
              <w:rPr>
                <w:rFonts w:ascii="Calibri" w:hAnsi="Calibri" w:cs="Calibri"/>
                <w:color w:val="000000"/>
              </w:rPr>
              <w:t>107</w:t>
            </w:r>
          </w:p>
        </w:tc>
        <w:tc>
          <w:tcPr>
            <w:tcW w:w="1087" w:type="dxa"/>
            <w:vAlign w:val="center"/>
          </w:tcPr>
          <w:p w14:paraId="5BE2205B" w14:textId="55ED20EA"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31</w:t>
            </w:r>
            <w:r w:rsidR="00AB4A9C">
              <w:rPr>
                <w:rFonts w:ascii="Calibri" w:hAnsi="Calibri" w:cs="Calibri"/>
                <w:color w:val="000000"/>
              </w:rPr>
              <w:t xml:space="preserve"> </w:t>
            </w:r>
            <w:r>
              <w:rPr>
                <w:rFonts w:ascii="Calibri" w:hAnsi="Calibri" w:cs="Calibri"/>
                <w:color w:val="000000"/>
              </w:rPr>
              <w:t>%</w:t>
            </w:r>
          </w:p>
        </w:tc>
      </w:tr>
      <w:tr w:rsidR="00793242" w:rsidRPr="007C1F2C" w14:paraId="5B298F3C" w14:textId="77777777" w:rsidTr="0011699E">
        <w:trPr>
          <w:trHeight w:val="340"/>
        </w:trPr>
        <w:tc>
          <w:tcPr>
            <w:tcW w:w="2263" w:type="dxa"/>
            <w:shd w:val="clear" w:color="auto" w:fill="auto"/>
            <w:noWrap/>
            <w:vAlign w:val="center"/>
          </w:tcPr>
          <w:p w14:paraId="59642996" w14:textId="00A95EEA" w:rsidR="00793242" w:rsidRPr="007933D9" w:rsidRDefault="00793242" w:rsidP="00793242">
            <w:pPr>
              <w:spacing w:after="0" w:line="240" w:lineRule="auto"/>
              <w:rPr>
                <w:rFonts w:ascii="Calibri" w:hAnsi="Calibri" w:cs="Calibri"/>
                <w:color w:val="000000"/>
              </w:rPr>
            </w:pPr>
            <w:r>
              <w:rPr>
                <w:rFonts w:ascii="Calibri" w:hAnsi="Calibri" w:cs="Calibri"/>
                <w:color w:val="000000"/>
              </w:rPr>
              <w:t>Pardubický kraj</w:t>
            </w:r>
          </w:p>
        </w:tc>
        <w:tc>
          <w:tcPr>
            <w:tcW w:w="992" w:type="dxa"/>
            <w:shd w:val="clear" w:color="auto" w:fill="auto"/>
            <w:vAlign w:val="center"/>
          </w:tcPr>
          <w:p w14:paraId="729C459E" w14:textId="044223F4"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29</w:t>
            </w:r>
          </w:p>
        </w:tc>
        <w:tc>
          <w:tcPr>
            <w:tcW w:w="709" w:type="dxa"/>
            <w:shd w:val="clear" w:color="auto" w:fill="auto"/>
            <w:vAlign w:val="center"/>
          </w:tcPr>
          <w:p w14:paraId="7027AE57" w14:textId="786A0740"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7</w:t>
            </w:r>
          </w:p>
        </w:tc>
        <w:tc>
          <w:tcPr>
            <w:tcW w:w="850" w:type="dxa"/>
            <w:shd w:val="clear" w:color="auto" w:fill="auto"/>
            <w:vAlign w:val="center"/>
          </w:tcPr>
          <w:p w14:paraId="3D5827D5" w14:textId="16A52A9F"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9</w:t>
            </w:r>
          </w:p>
        </w:tc>
        <w:tc>
          <w:tcPr>
            <w:tcW w:w="851" w:type="dxa"/>
            <w:shd w:val="clear" w:color="auto" w:fill="auto"/>
            <w:vAlign w:val="center"/>
          </w:tcPr>
          <w:p w14:paraId="79FCE354" w14:textId="5960DFB7"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13</w:t>
            </w:r>
          </w:p>
        </w:tc>
        <w:tc>
          <w:tcPr>
            <w:tcW w:w="1087" w:type="dxa"/>
            <w:shd w:val="clear" w:color="auto" w:fill="auto"/>
            <w:vAlign w:val="center"/>
          </w:tcPr>
          <w:p w14:paraId="75A9FC42" w14:textId="74735408"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432</w:t>
            </w:r>
          </w:p>
        </w:tc>
        <w:tc>
          <w:tcPr>
            <w:tcW w:w="1087" w:type="dxa"/>
            <w:shd w:val="clear" w:color="auto" w:fill="auto"/>
            <w:vAlign w:val="center"/>
          </w:tcPr>
          <w:p w14:paraId="153F5BCD" w14:textId="076BADF9"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703</w:t>
            </w:r>
          </w:p>
        </w:tc>
        <w:tc>
          <w:tcPr>
            <w:tcW w:w="944" w:type="dxa"/>
            <w:shd w:val="clear" w:color="auto" w:fill="auto"/>
            <w:vAlign w:val="center"/>
          </w:tcPr>
          <w:p w14:paraId="3AB189A3" w14:textId="20FC25C8"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84</w:t>
            </w:r>
          </w:p>
        </w:tc>
        <w:tc>
          <w:tcPr>
            <w:tcW w:w="1087" w:type="dxa"/>
            <w:shd w:val="clear" w:color="auto" w:fill="auto"/>
            <w:vAlign w:val="center"/>
          </w:tcPr>
          <w:p w14:paraId="47F9F49A" w14:textId="05148A54" w:rsidR="00793242" w:rsidRPr="007933D9" w:rsidRDefault="00793242" w:rsidP="00793242">
            <w:pPr>
              <w:spacing w:after="0" w:line="240" w:lineRule="auto"/>
              <w:jc w:val="right"/>
              <w:rPr>
                <w:rFonts w:ascii="Calibri" w:hAnsi="Calibri" w:cs="Calibri"/>
                <w:color w:val="000000"/>
              </w:rPr>
            </w:pPr>
            <w:r>
              <w:rPr>
                <w:rFonts w:ascii="Calibri" w:hAnsi="Calibri" w:cs="Calibri"/>
                <w:color w:val="000000"/>
              </w:rPr>
              <w:t>35</w:t>
            </w:r>
            <w:r w:rsidR="00AB4A9C">
              <w:rPr>
                <w:rFonts w:ascii="Calibri" w:hAnsi="Calibri" w:cs="Calibri"/>
                <w:color w:val="000000"/>
              </w:rPr>
              <w:t xml:space="preserve"> </w:t>
            </w:r>
            <w:r>
              <w:rPr>
                <w:rFonts w:ascii="Calibri" w:hAnsi="Calibri" w:cs="Calibri"/>
                <w:color w:val="000000"/>
              </w:rPr>
              <w:t>%</w:t>
            </w:r>
          </w:p>
        </w:tc>
      </w:tr>
      <w:tr w:rsidR="00793242" w:rsidRPr="007C1F2C" w14:paraId="3F980F12" w14:textId="77777777" w:rsidTr="0011699E">
        <w:trPr>
          <w:trHeight w:val="340"/>
        </w:trPr>
        <w:tc>
          <w:tcPr>
            <w:tcW w:w="2263" w:type="dxa"/>
            <w:shd w:val="clear" w:color="auto" w:fill="auto"/>
            <w:noWrap/>
            <w:vAlign w:val="center"/>
          </w:tcPr>
          <w:p w14:paraId="6468E216" w14:textId="4020A99B"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Plzeňský kraj</w:t>
            </w:r>
          </w:p>
        </w:tc>
        <w:tc>
          <w:tcPr>
            <w:tcW w:w="992" w:type="dxa"/>
            <w:shd w:val="clear" w:color="auto" w:fill="auto"/>
            <w:vAlign w:val="center"/>
          </w:tcPr>
          <w:p w14:paraId="26B65869" w14:textId="48FDCEB2"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28</w:t>
            </w:r>
          </w:p>
        </w:tc>
        <w:tc>
          <w:tcPr>
            <w:tcW w:w="709" w:type="dxa"/>
            <w:shd w:val="clear" w:color="auto" w:fill="auto"/>
            <w:vAlign w:val="center"/>
          </w:tcPr>
          <w:p w14:paraId="3C6A75A2" w14:textId="4BEF671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11</w:t>
            </w:r>
          </w:p>
        </w:tc>
        <w:tc>
          <w:tcPr>
            <w:tcW w:w="850" w:type="dxa"/>
            <w:shd w:val="clear" w:color="auto" w:fill="auto"/>
            <w:vAlign w:val="center"/>
          </w:tcPr>
          <w:p w14:paraId="5B2F9840" w14:textId="3A51E04D"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851" w:type="dxa"/>
            <w:shd w:val="clear" w:color="auto" w:fill="auto"/>
            <w:vAlign w:val="center"/>
          </w:tcPr>
          <w:p w14:paraId="4BF0A544" w14:textId="7216BDBD"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1087" w:type="dxa"/>
            <w:shd w:val="clear" w:color="auto" w:fill="auto"/>
            <w:vAlign w:val="center"/>
          </w:tcPr>
          <w:p w14:paraId="6A010F9F" w14:textId="6D79FEB5"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440</w:t>
            </w:r>
          </w:p>
        </w:tc>
        <w:tc>
          <w:tcPr>
            <w:tcW w:w="1087" w:type="dxa"/>
            <w:shd w:val="clear" w:color="auto" w:fill="auto"/>
            <w:vAlign w:val="center"/>
          </w:tcPr>
          <w:p w14:paraId="45C13282" w14:textId="7C2D5A1D"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677</w:t>
            </w:r>
          </w:p>
        </w:tc>
        <w:tc>
          <w:tcPr>
            <w:tcW w:w="944" w:type="dxa"/>
            <w:vAlign w:val="center"/>
          </w:tcPr>
          <w:p w14:paraId="1FBB86B6" w14:textId="72E70E2E" w:rsidR="00793242" w:rsidRPr="00F5785C" w:rsidRDefault="00793242" w:rsidP="00793242">
            <w:pPr>
              <w:spacing w:after="0" w:line="240" w:lineRule="auto"/>
              <w:jc w:val="right"/>
              <w:rPr>
                <w:rFonts w:ascii="Calibri" w:hAnsi="Calibri" w:cs="Calibri"/>
              </w:rPr>
            </w:pPr>
            <w:r>
              <w:rPr>
                <w:rFonts w:ascii="Calibri" w:hAnsi="Calibri" w:cs="Calibri"/>
                <w:color w:val="000000"/>
              </w:rPr>
              <w:t>107</w:t>
            </w:r>
          </w:p>
        </w:tc>
        <w:tc>
          <w:tcPr>
            <w:tcW w:w="1087" w:type="dxa"/>
            <w:vAlign w:val="center"/>
          </w:tcPr>
          <w:p w14:paraId="782BB3A7" w14:textId="000B596A"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26</w:t>
            </w:r>
            <w:r w:rsidR="00AB4A9C">
              <w:rPr>
                <w:rFonts w:ascii="Calibri" w:hAnsi="Calibri" w:cs="Calibri"/>
                <w:color w:val="000000"/>
              </w:rPr>
              <w:t xml:space="preserve"> </w:t>
            </w:r>
            <w:r>
              <w:rPr>
                <w:rFonts w:ascii="Calibri" w:hAnsi="Calibri" w:cs="Calibri"/>
                <w:color w:val="000000"/>
              </w:rPr>
              <w:t>%</w:t>
            </w:r>
          </w:p>
        </w:tc>
      </w:tr>
      <w:tr w:rsidR="00793242" w:rsidRPr="007C1F2C" w14:paraId="6BBA4E25" w14:textId="77777777" w:rsidTr="0011699E">
        <w:trPr>
          <w:trHeight w:val="340"/>
        </w:trPr>
        <w:tc>
          <w:tcPr>
            <w:tcW w:w="2263" w:type="dxa"/>
            <w:shd w:val="clear" w:color="auto" w:fill="auto"/>
            <w:noWrap/>
            <w:vAlign w:val="center"/>
          </w:tcPr>
          <w:p w14:paraId="4786F3B0" w14:textId="5240BD8B"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Zlínský kraj</w:t>
            </w:r>
          </w:p>
        </w:tc>
        <w:tc>
          <w:tcPr>
            <w:tcW w:w="992" w:type="dxa"/>
            <w:shd w:val="clear" w:color="auto" w:fill="auto"/>
            <w:vAlign w:val="center"/>
          </w:tcPr>
          <w:p w14:paraId="1F3F9216" w14:textId="6F70303B"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26</w:t>
            </w:r>
          </w:p>
        </w:tc>
        <w:tc>
          <w:tcPr>
            <w:tcW w:w="709" w:type="dxa"/>
            <w:shd w:val="clear" w:color="auto" w:fill="auto"/>
            <w:vAlign w:val="center"/>
          </w:tcPr>
          <w:p w14:paraId="64D42617" w14:textId="3DF73833"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6</w:t>
            </w:r>
          </w:p>
        </w:tc>
        <w:tc>
          <w:tcPr>
            <w:tcW w:w="850" w:type="dxa"/>
            <w:shd w:val="clear" w:color="auto" w:fill="auto"/>
            <w:vAlign w:val="center"/>
          </w:tcPr>
          <w:p w14:paraId="39C620DD" w14:textId="74DF8B10"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851" w:type="dxa"/>
            <w:shd w:val="clear" w:color="auto" w:fill="auto"/>
            <w:vAlign w:val="center"/>
          </w:tcPr>
          <w:p w14:paraId="00E79654" w14:textId="3EE6DF3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12</w:t>
            </w:r>
          </w:p>
        </w:tc>
        <w:tc>
          <w:tcPr>
            <w:tcW w:w="1087" w:type="dxa"/>
            <w:shd w:val="clear" w:color="auto" w:fill="auto"/>
            <w:vAlign w:val="center"/>
          </w:tcPr>
          <w:p w14:paraId="4F7ED866" w14:textId="5033E49A"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464</w:t>
            </w:r>
          </w:p>
        </w:tc>
        <w:tc>
          <w:tcPr>
            <w:tcW w:w="1087" w:type="dxa"/>
            <w:shd w:val="clear" w:color="auto" w:fill="auto"/>
            <w:vAlign w:val="center"/>
          </w:tcPr>
          <w:p w14:paraId="5040B0A0" w14:textId="71D5CD3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717</w:t>
            </w:r>
          </w:p>
        </w:tc>
        <w:tc>
          <w:tcPr>
            <w:tcW w:w="944" w:type="dxa"/>
            <w:vAlign w:val="center"/>
          </w:tcPr>
          <w:p w14:paraId="5CC4BAD2" w14:textId="3A0F463C" w:rsidR="00793242" w:rsidRPr="00F5785C" w:rsidRDefault="00793242" w:rsidP="00793242">
            <w:pPr>
              <w:spacing w:after="0" w:line="240" w:lineRule="auto"/>
              <w:jc w:val="right"/>
              <w:rPr>
                <w:rFonts w:ascii="Calibri" w:hAnsi="Calibri" w:cs="Calibri"/>
              </w:rPr>
            </w:pPr>
            <w:r>
              <w:rPr>
                <w:rFonts w:ascii="Calibri" w:hAnsi="Calibri" w:cs="Calibri"/>
                <w:color w:val="000000"/>
              </w:rPr>
              <w:t>108</w:t>
            </w:r>
          </w:p>
        </w:tc>
        <w:tc>
          <w:tcPr>
            <w:tcW w:w="1087" w:type="dxa"/>
            <w:vAlign w:val="center"/>
          </w:tcPr>
          <w:p w14:paraId="023FFC2F" w14:textId="4E71E104"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24</w:t>
            </w:r>
            <w:r w:rsidR="00AB4A9C">
              <w:rPr>
                <w:rFonts w:ascii="Calibri" w:hAnsi="Calibri" w:cs="Calibri"/>
                <w:color w:val="000000"/>
              </w:rPr>
              <w:t xml:space="preserve"> </w:t>
            </w:r>
            <w:r>
              <w:rPr>
                <w:rFonts w:ascii="Calibri" w:hAnsi="Calibri" w:cs="Calibri"/>
                <w:color w:val="000000"/>
              </w:rPr>
              <w:t>%</w:t>
            </w:r>
          </w:p>
        </w:tc>
      </w:tr>
      <w:tr w:rsidR="00793242" w:rsidRPr="007C1F2C" w14:paraId="7EED9225" w14:textId="77777777" w:rsidTr="0011699E">
        <w:trPr>
          <w:trHeight w:val="340"/>
        </w:trPr>
        <w:tc>
          <w:tcPr>
            <w:tcW w:w="2263" w:type="dxa"/>
            <w:shd w:val="clear" w:color="auto" w:fill="auto"/>
            <w:noWrap/>
            <w:vAlign w:val="center"/>
          </w:tcPr>
          <w:p w14:paraId="6554CEB0" w14:textId="514FB08B"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Olomoucký kraj</w:t>
            </w:r>
          </w:p>
        </w:tc>
        <w:tc>
          <w:tcPr>
            <w:tcW w:w="992" w:type="dxa"/>
            <w:shd w:val="clear" w:color="auto" w:fill="auto"/>
            <w:vAlign w:val="center"/>
          </w:tcPr>
          <w:p w14:paraId="018A206A" w14:textId="4F4C002B"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22</w:t>
            </w:r>
          </w:p>
        </w:tc>
        <w:tc>
          <w:tcPr>
            <w:tcW w:w="709" w:type="dxa"/>
            <w:shd w:val="clear" w:color="auto" w:fill="auto"/>
            <w:vAlign w:val="center"/>
          </w:tcPr>
          <w:p w14:paraId="2B0A3A42" w14:textId="31AF3EB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850" w:type="dxa"/>
            <w:shd w:val="clear" w:color="auto" w:fill="auto"/>
            <w:vAlign w:val="center"/>
          </w:tcPr>
          <w:p w14:paraId="4269AED9" w14:textId="2B06158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4</w:t>
            </w:r>
          </w:p>
        </w:tc>
        <w:tc>
          <w:tcPr>
            <w:tcW w:w="851" w:type="dxa"/>
            <w:shd w:val="clear" w:color="auto" w:fill="auto"/>
            <w:vAlign w:val="center"/>
          </w:tcPr>
          <w:p w14:paraId="6B659B00" w14:textId="2374991D"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1087" w:type="dxa"/>
            <w:shd w:val="clear" w:color="auto" w:fill="auto"/>
            <w:vAlign w:val="center"/>
          </w:tcPr>
          <w:p w14:paraId="33F84131" w14:textId="4B22A26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384</w:t>
            </w:r>
          </w:p>
        </w:tc>
        <w:tc>
          <w:tcPr>
            <w:tcW w:w="1087" w:type="dxa"/>
            <w:shd w:val="clear" w:color="auto" w:fill="auto"/>
            <w:vAlign w:val="center"/>
          </w:tcPr>
          <w:p w14:paraId="55E9C7BF" w14:textId="0ABE5F4F"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569</w:t>
            </w:r>
          </w:p>
        </w:tc>
        <w:tc>
          <w:tcPr>
            <w:tcW w:w="944" w:type="dxa"/>
            <w:vAlign w:val="center"/>
          </w:tcPr>
          <w:p w14:paraId="04A0C727" w14:textId="445B0B27" w:rsidR="00793242" w:rsidRPr="00F5785C" w:rsidRDefault="00793242" w:rsidP="00793242">
            <w:pPr>
              <w:spacing w:after="0" w:line="240" w:lineRule="auto"/>
              <w:jc w:val="right"/>
              <w:rPr>
                <w:rFonts w:ascii="Calibri" w:hAnsi="Calibri" w:cs="Calibri"/>
              </w:rPr>
            </w:pPr>
            <w:r>
              <w:rPr>
                <w:rFonts w:ascii="Calibri" w:hAnsi="Calibri" w:cs="Calibri"/>
                <w:color w:val="000000"/>
              </w:rPr>
              <w:t>63</w:t>
            </w:r>
          </w:p>
        </w:tc>
        <w:tc>
          <w:tcPr>
            <w:tcW w:w="1087" w:type="dxa"/>
            <w:vAlign w:val="center"/>
          </w:tcPr>
          <w:p w14:paraId="2704D1B3" w14:textId="01D2486D"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35</w:t>
            </w:r>
            <w:r w:rsidR="00AB4A9C">
              <w:rPr>
                <w:rFonts w:ascii="Calibri" w:hAnsi="Calibri" w:cs="Calibri"/>
                <w:color w:val="000000"/>
              </w:rPr>
              <w:t xml:space="preserve"> </w:t>
            </w:r>
            <w:r>
              <w:rPr>
                <w:rFonts w:ascii="Calibri" w:hAnsi="Calibri" w:cs="Calibri"/>
                <w:color w:val="000000"/>
              </w:rPr>
              <w:t>%</w:t>
            </w:r>
          </w:p>
        </w:tc>
      </w:tr>
      <w:tr w:rsidR="00793242" w:rsidRPr="007C1F2C" w14:paraId="0EFF4DE0" w14:textId="77777777" w:rsidTr="0011699E">
        <w:trPr>
          <w:trHeight w:val="340"/>
        </w:trPr>
        <w:tc>
          <w:tcPr>
            <w:tcW w:w="2263" w:type="dxa"/>
            <w:shd w:val="clear" w:color="auto" w:fill="auto"/>
            <w:noWrap/>
            <w:vAlign w:val="center"/>
          </w:tcPr>
          <w:p w14:paraId="7B0C98A3" w14:textId="3535E3DC"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Kraj Vysočina</w:t>
            </w:r>
          </w:p>
        </w:tc>
        <w:tc>
          <w:tcPr>
            <w:tcW w:w="992" w:type="dxa"/>
            <w:shd w:val="clear" w:color="auto" w:fill="auto"/>
            <w:vAlign w:val="center"/>
          </w:tcPr>
          <w:p w14:paraId="2D48A784" w14:textId="70C7620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23</w:t>
            </w:r>
          </w:p>
        </w:tc>
        <w:tc>
          <w:tcPr>
            <w:tcW w:w="709" w:type="dxa"/>
            <w:shd w:val="clear" w:color="auto" w:fill="auto"/>
            <w:vAlign w:val="center"/>
          </w:tcPr>
          <w:p w14:paraId="574F47FF" w14:textId="2C08DB6C"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p>
        </w:tc>
        <w:tc>
          <w:tcPr>
            <w:tcW w:w="850" w:type="dxa"/>
            <w:shd w:val="clear" w:color="auto" w:fill="auto"/>
            <w:vAlign w:val="center"/>
          </w:tcPr>
          <w:p w14:paraId="1789E1B3" w14:textId="5226343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851" w:type="dxa"/>
            <w:shd w:val="clear" w:color="auto" w:fill="auto"/>
            <w:vAlign w:val="center"/>
          </w:tcPr>
          <w:p w14:paraId="1FA43E43" w14:textId="1EADF920"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w:t>
            </w:r>
          </w:p>
        </w:tc>
        <w:tc>
          <w:tcPr>
            <w:tcW w:w="1087" w:type="dxa"/>
            <w:shd w:val="clear" w:color="auto" w:fill="auto"/>
            <w:vAlign w:val="center"/>
          </w:tcPr>
          <w:p w14:paraId="7AF54696" w14:textId="6AD6844A"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364</w:t>
            </w:r>
          </w:p>
        </w:tc>
        <w:tc>
          <w:tcPr>
            <w:tcW w:w="1087" w:type="dxa"/>
            <w:shd w:val="clear" w:color="auto" w:fill="auto"/>
            <w:vAlign w:val="center"/>
          </w:tcPr>
          <w:p w14:paraId="2EA1D5D0" w14:textId="429E04B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576</w:t>
            </w:r>
          </w:p>
        </w:tc>
        <w:tc>
          <w:tcPr>
            <w:tcW w:w="944" w:type="dxa"/>
            <w:vAlign w:val="center"/>
          </w:tcPr>
          <w:p w14:paraId="11946701" w14:textId="133AFD9F" w:rsidR="00793242" w:rsidRPr="00F5785C" w:rsidRDefault="00793242" w:rsidP="00793242">
            <w:pPr>
              <w:spacing w:after="0" w:line="240" w:lineRule="auto"/>
              <w:jc w:val="right"/>
              <w:rPr>
                <w:rFonts w:ascii="Calibri" w:hAnsi="Calibri" w:cs="Calibri"/>
              </w:rPr>
            </w:pPr>
            <w:r>
              <w:rPr>
                <w:rFonts w:ascii="Calibri" w:hAnsi="Calibri" w:cs="Calibri"/>
                <w:color w:val="000000"/>
              </w:rPr>
              <w:t>85</w:t>
            </w:r>
          </w:p>
        </w:tc>
        <w:tc>
          <w:tcPr>
            <w:tcW w:w="1087" w:type="dxa"/>
            <w:vAlign w:val="center"/>
          </w:tcPr>
          <w:p w14:paraId="05404E0F" w14:textId="7B3122E9"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27</w:t>
            </w:r>
            <w:r w:rsidR="00AB4A9C">
              <w:rPr>
                <w:rFonts w:ascii="Calibri" w:hAnsi="Calibri" w:cs="Calibri"/>
                <w:color w:val="000000"/>
              </w:rPr>
              <w:t xml:space="preserve"> </w:t>
            </w:r>
            <w:r>
              <w:rPr>
                <w:rFonts w:ascii="Calibri" w:hAnsi="Calibri" w:cs="Calibri"/>
                <w:color w:val="000000"/>
              </w:rPr>
              <w:t>%</w:t>
            </w:r>
          </w:p>
        </w:tc>
      </w:tr>
      <w:tr w:rsidR="00793242" w:rsidRPr="007C1F2C" w14:paraId="7395CA5F" w14:textId="77777777" w:rsidTr="0011699E">
        <w:trPr>
          <w:trHeight w:val="340"/>
        </w:trPr>
        <w:tc>
          <w:tcPr>
            <w:tcW w:w="2263" w:type="dxa"/>
            <w:shd w:val="clear" w:color="auto" w:fill="auto"/>
            <w:noWrap/>
            <w:vAlign w:val="center"/>
          </w:tcPr>
          <w:p w14:paraId="735B353B" w14:textId="0D68FDE4"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Jihočeský kraj</w:t>
            </w:r>
          </w:p>
        </w:tc>
        <w:tc>
          <w:tcPr>
            <w:tcW w:w="992" w:type="dxa"/>
            <w:shd w:val="clear" w:color="auto" w:fill="auto"/>
            <w:vAlign w:val="center"/>
          </w:tcPr>
          <w:p w14:paraId="0D1614BE" w14:textId="6829162E"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22</w:t>
            </w:r>
          </w:p>
        </w:tc>
        <w:tc>
          <w:tcPr>
            <w:tcW w:w="709" w:type="dxa"/>
            <w:shd w:val="clear" w:color="auto" w:fill="auto"/>
            <w:vAlign w:val="center"/>
          </w:tcPr>
          <w:p w14:paraId="23267DB0" w14:textId="0B44D594"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15</w:t>
            </w:r>
          </w:p>
        </w:tc>
        <w:tc>
          <w:tcPr>
            <w:tcW w:w="850" w:type="dxa"/>
            <w:shd w:val="clear" w:color="auto" w:fill="auto"/>
            <w:vAlign w:val="center"/>
          </w:tcPr>
          <w:p w14:paraId="16B0996A" w14:textId="59206AB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p>
        </w:tc>
        <w:tc>
          <w:tcPr>
            <w:tcW w:w="851" w:type="dxa"/>
            <w:shd w:val="clear" w:color="auto" w:fill="auto"/>
            <w:vAlign w:val="center"/>
          </w:tcPr>
          <w:p w14:paraId="0FFA2E22" w14:textId="4BA9EF6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w:t>
            </w:r>
          </w:p>
        </w:tc>
        <w:tc>
          <w:tcPr>
            <w:tcW w:w="1087" w:type="dxa"/>
            <w:shd w:val="clear" w:color="auto" w:fill="auto"/>
            <w:vAlign w:val="center"/>
          </w:tcPr>
          <w:p w14:paraId="0BC891CA" w14:textId="6AC253B3"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373</w:t>
            </w:r>
          </w:p>
        </w:tc>
        <w:tc>
          <w:tcPr>
            <w:tcW w:w="1087" w:type="dxa"/>
            <w:shd w:val="clear" w:color="auto" w:fill="auto"/>
            <w:vAlign w:val="center"/>
          </w:tcPr>
          <w:p w14:paraId="288DB825" w14:textId="3C11D810"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547</w:t>
            </w:r>
          </w:p>
        </w:tc>
        <w:tc>
          <w:tcPr>
            <w:tcW w:w="944" w:type="dxa"/>
            <w:shd w:val="clear" w:color="auto" w:fill="auto"/>
            <w:vAlign w:val="center"/>
          </w:tcPr>
          <w:p w14:paraId="5FDE1B09" w14:textId="515219DC" w:rsidR="00793242" w:rsidRPr="00F5785C" w:rsidRDefault="00793242" w:rsidP="00793242">
            <w:pPr>
              <w:spacing w:after="0" w:line="240" w:lineRule="auto"/>
              <w:jc w:val="right"/>
              <w:rPr>
                <w:rFonts w:ascii="Calibri" w:hAnsi="Calibri" w:cs="Calibri"/>
              </w:rPr>
            </w:pPr>
            <w:r>
              <w:rPr>
                <w:rFonts w:ascii="Calibri" w:hAnsi="Calibri" w:cs="Calibri"/>
                <w:color w:val="000000"/>
              </w:rPr>
              <w:t>95</w:t>
            </w:r>
          </w:p>
        </w:tc>
        <w:tc>
          <w:tcPr>
            <w:tcW w:w="1087" w:type="dxa"/>
            <w:shd w:val="clear" w:color="auto" w:fill="auto"/>
            <w:vAlign w:val="center"/>
          </w:tcPr>
          <w:p w14:paraId="66C01FEE" w14:textId="27153005"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23</w:t>
            </w:r>
            <w:r w:rsidR="00AB4A9C">
              <w:rPr>
                <w:rFonts w:ascii="Calibri" w:hAnsi="Calibri" w:cs="Calibri"/>
                <w:color w:val="000000"/>
              </w:rPr>
              <w:t xml:space="preserve"> </w:t>
            </w:r>
            <w:r>
              <w:rPr>
                <w:rFonts w:ascii="Calibri" w:hAnsi="Calibri" w:cs="Calibri"/>
                <w:color w:val="000000"/>
              </w:rPr>
              <w:t>%</w:t>
            </w:r>
          </w:p>
        </w:tc>
      </w:tr>
      <w:tr w:rsidR="00793242" w:rsidRPr="007C1F2C" w14:paraId="34DA97BF" w14:textId="77777777" w:rsidTr="0011699E">
        <w:trPr>
          <w:trHeight w:val="340"/>
        </w:trPr>
        <w:tc>
          <w:tcPr>
            <w:tcW w:w="2263" w:type="dxa"/>
            <w:shd w:val="clear" w:color="auto" w:fill="auto"/>
            <w:noWrap/>
            <w:vAlign w:val="center"/>
          </w:tcPr>
          <w:p w14:paraId="54818157" w14:textId="0B392E55" w:rsidR="00793242" w:rsidRPr="008347AB" w:rsidRDefault="00793242" w:rsidP="00793242">
            <w:pPr>
              <w:spacing w:after="0" w:line="240" w:lineRule="auto"/>
              <w:rPr>
                <w:rFonts w:ascii="Calibri" w:eastAsia="Times New Roman" w:hAnsi="Calibri" w:cs="Times New Roman"/>
                <w:lang w:eastAsia="cs-CZ"/>
              </w:rPr>
            </w:pPr>
            <w:r>
              <w:rPr>
                <w:rFonts w:ascii="Calibri" w:hAnsi="Calibri" w:cs="Calibri"/>
                <w:color w:val="000000"/>
              </w:rPr>
              <w:t>Karlovarský kraj</w:t>
            </w:r>
          </w:p>
        </w:tc>
        <w:tc>
          <w:tcPr>
            <w:tcW w:w="992" w:type="dxa"/>
            <w:shd w:val="clear" w:color="auto" w:fill="auto"/>
            <w:vAlign w:val="center"/>
          </w:tcPr>
          <w:p w14:paraId="074BD6ED" w14:textId="55B6E5C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5</w:t>
            </w:r>
          </w:p>
        </w:tc>
        <w:tc>
          <w:tcPr>
            <w:tcW w:w="709" w:type="dxa"/>
            <w:shd w:val="clear" w:color="auto" w:fill="auto"/>
            <w:vAlign w:val="center"/>
          </w:tcPr>
          <w:p w14:paraId="0381004B" w14:textId="649A3A31"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p>
        </w:tc>
        <w:tc>
          <w:tcPr>
            <w:tcW w:w="850" w:type="dxa"/>
            <w:shd w:val="clear" w:color="auto" w:fill="auto"/>
            <w:vAlign w:val="center"/>
          </w:tcPr>
          <w:p w14:paraId="06F4E796" w14:textId="0BB7526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w:t>
            </w:r>
          </w:p>
        </w:tc>
        <w:tc>
          <w:tcPr>
            <w:tcW w:w="851" w:type="dxa"/>
            <w:shd w:val="clear" w:color="auto" w:fill="auto"/>
            <w:vAlign w:val="center"/>
          </w:tcPr>
          <w:p w14:paraId="7C650AA7" w14:textId="12E102C7"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2</w:t>
            </w:r>
          </w:p>
        </w:tc>
        <w:tc>
          <w:tcPr>
            <w:tcW w:w="1087" w:type="dxa"/>
            <w:shd w:val="clear" w:color="auto" w:fill="auto"/>
            <w:vAlign w:val="center"/>
          </w:tcPr>
          <w:p w14:paraId="4B56AC77" w14:textId="5D343919"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81</w:t>
            </w:r>
          </w:p>
        </w:tc>
        <w:tc>
          <w:tcPr>
            <w:tcW w:w="1087" w:type="dxa"/>
            <w:shd w:val="clear" w:color="auto" w:fill="auto"/>
            <w:vAlign w:val="center"/>
          </w:tcPr>
          <w:p w14:paraId="57233E8D" w14:textId="377F65C0" w:rsidR="00793242" w:rsidRPr="007C1F2C" w:rsidRDefault="00793242" w:rsidP="00793242">
            <w:pPr>
              <w:spacing w:after="0" w:line="240" w:lineRule="auto"/>
              <w:jc w:val="right"/>
              <w:rPr>
                <w:rFonts w:ascii="Calibri" w:eastAsia="Times New Roman" w:hAnsi="Calibri" w:cs="Times New Roman"/>
                <w:color w:val="000000"/>
                <w:lang w:eastAsia="cs-CZ"/>
              </w:rPr>
            </w:pPr>
            <w:r>
              <w:rPr>
                <w:rFonts w:ascii="Calibri" w:hAnsi="Calibri" w:cs="Calibri"/>
                <w:color w:val="000000"/>
              </w:rPr>
              <w:t>122</w:t>
            </w:r>
          </w:p>
        </w:tc>
        <w:tc>
          <w:tcPr>
            <w:tcW w:w="944" w:type="dxa"/>
            <w:shd w:val="clear" w:color="auto" w:fill="auto"/>
            <w:vAlign w:val="center"/>
          </w:tcPr>
          <w:p w14:paraId="7E238195" w14:textId="2D6F3F48" w:rsidR="00793242" w:rsidRPr="00F5785C" w:rsidRDefault="00793242" w:rsidP="00793242">
            <w:pPr>
              <w:spacing w:after="0" w:line="240" w:lineRule="auto"/>
              <w:jc w:val="right"/>
              <w:rPr>
                <w:rFonts w:ascii="Calibri" w:hAnsi="Calibri" w:cs="Calibri"/>
              </w:rPr>
            </w:pPr>
            <w:r>
              <w:rPr>
                <w:rFonts w:ascii="Calibri" w:hAnsi="Calibri" w:cs="Calibri"/>
                <w:color w:val="000000"/>
              </w:rPr>
              <w:t>16</w:t>
            </w:r>
          </w:p>
        </w:tc>
        <w:tc>
          <w:tcPr>
            <w:tcW w:w="1087" w:type="dxa"/>
            <w:shd w:val="clear" w:color="auto" w:fill="auto"/>
            <w:vAlign w:val="center"/>
          </w:tcPr>
          <w:p w14:paraId="332F3395" w14:textId="72E00575" w:rsidR="00793242" w:rsidRPr="00F5785C" w:rsidRDefault="00793242" w:rsidP="00793242">
            <w:pPr>
              <w:spacing w:after="0" w:line="240" w:lineRule="auto"/>
              <w:jc w:val="right"/>
              <w:rPr>
                <w:rFonts w:ascii="Calibri" w:hAnsi="Calibri" w:cs="Calibri"/>
                <w:sz w:val="20"/>
                <w:szCs w:val="20"/>
              </w:rPr>
            </w:pPr>
            <w:r>
              <w:rPr>
                <w:rFonts w:ascii="Calibri" w:hAnsi="Calibri" w:cs="Calibri"/>
                <w:color w:val="000000"/>
              </w:rPr>
              <w:t>31</w:t>
            </w:r>
            <w:r w:rsidR="00AB4A9C">
              <w:rPr>
                <w:rFonts w:ascii="Calibri" w:hAnsi="Calibri" w:cs="Calibri"/>
                <w:color w:val="000000"/>
              </w:rPr>
              <w:t xml:space="preserve"> </w:t>
            </w:r>
            <w:r>
              <w:rPr>
                <w:rFonts w:ascii="Calibri" w:hAnsi="Calibri" w:cs="Calibri"/>
                <w:color w:val="000000"/>
              </w:rPr>
              <w:t>%</w:t>
            </w:r>
          </w:p>
        </w:tc>
      </w:tr>
      <w:tr w:rsidR="008519CC" w:rsidRPr="00E46128" w14:paraId="6F9156CE" w14:textId="77777777" w:rsidTr="0011699E">
        <w:trPr>
          <w:trHeight w:val="340"/>
        </w:trPr>
        <w:tc>
          <w:tcPr>
            <w:tcW w:w="2263" w:type="dxa"/>
            <w:shd w:val="clear" w:color="auto" w:fill="auto"/>
            <w:noWrap/>
            <w:vAlign w:val="center"/>
          </w:tcPr>
          <w:p w14:paraId="40FC5234" w14:textId="6C90726E" w:rsidR="008519CC" w:rsidRPr="007C1F2C" w:rsidRDefault="008519CC" w:rsidP="00917587">
            <w:pPr>
              <w:spacing w:after="0" w:line="240" w:lineRule="auto"/>
              <w:rPr>
                <w:rFonts w:ascii="Calibri" w:eastAsia="Times New Roman" w:hAnsi="Calibri" w:cs="Times New Roman"/>
                <w:color w:val="000000"/>
                <w:lang w:eastAsia="cs-CZ"/>
              </w:rPr>
            </w:pPr>
            <w:r>
              <w:rPr>
                <w:rFonts w:ascii="Calibri" w:hAnsi="Calibri" w:cs="Calibri"/>
                <w:b/>
                <w:bCs/>
                <w:color w:val="000000"/>
              </w:rPr>
              <w:t>CELKEM</w:t>
            </w:r>
          </w:p>
        </w:tc>
        <w:tc>
          <w:tcPr>
            <w:tcW w:w="992" w:type="dxa"/>
            <w:shd w:val="clear" w:color="auto" w:fill="auto"/>
            <w:vAlign w:val="center"/>
          </w:tcPr>
          <w:p w14:paraId="2AEA6A3C" w14:textId="3147F60F" w:rsidR="008519CC" w:rsidRPr="007C1F2C" w:rsidRDefault="00793242"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670</w:t>
            </w:r>
          </w:p>
        </w:tc>
        <w:tc>
          <w:tcPr>
            <w:tcW w:w="709" w:type="dxa"/>
            <w:shd w:val="clear" w:color="auto" w:fill="auto"/>
            <w:vAlign w:val="center"/>
          </w:tcPr>
          <w:p w14:paraId="7DFA555D" w14:textId="30B75A4B" w:rsidR="008519CC" w:rsidRPr="007C1F2C" w:rsidRDefault="008519CC"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3</w:t>
            </w:r>
            <w:r w:rsidR="00793242">
              <w:rPr>
                <w:rFonts w:ascii="Calibri" w:hAnsi="Calibri" w:cs="Calibri"/>
                <w:b/>
                <w:bCs/>
                <w:color w:val="000000"/>
              </w:rPr>
              <w:t>2</w:t>
            </w:r>
            <w:r>
              <w:rPr>
                <w:rFonts w:ascii="Calibri" w:hAnsi="Calibri" w:cs="Calibri"/>
                <w:b/>
                <w:bCs/>
                <w:color w:val="000000"/>
              </w:rPr>
              <w:t>7</w:t>
            </w:r>
          </w:p>
        </w:tc>
        <w:tc>
          <w:tcPr>
            <w:tcW w:w="850" w:type="dxa"/>
            <w:shd w:val="clear" w:color="auto" w:fill="auto"/>
            <w:vAlign w:val="center"/>
          </w:tcPr>
          <w:p w14:paraId="07A9BB43" w14:textId="050FB59C" w:rsidR="008519CC" w:rsidRPr="007C1F2C" w:rsidRDefault="008519CC"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16</w:t>
            </w:r>
            <w:r w:rsidR="00793242">
              <w:rPr>
                <w:rFonts w:ascii="Calibri" w:hAnsi="Calibri" w:cs="Calibri"/>
                <w:b/>
                <w:bCs/>
                <w:color w:val="000000"/>
              </w:rPr>
              <w:t>1</w:t>
            </w:r>
          </w:p>
        </w:tc>
        <w:tc>
          <w:tcPr>
            <w:tcW w:w="851" w:type="dxa"/>
            <w:shd w:val="clear" w:color="auto" w:fill="auto"/>
            <w:vAlign w:val="center"/>
          </w:tcPr>
          <w:p w14:paraId="1581B12A" w14:textId="36BB8023" w:rsidR="008519CC" w:rsidRPr="007C1F2C" w:rsidRDefault="008519CC" w:rsidP="00917587">
            <w:pPr>
              <w:spacing w:after="0" w:line="240" w:lineRule="auto"/>
              <w:jc w:val="right"/>
              <w:rPr>
                <w:rFonts w:ascii="Calibri" w:eastAsia="Times New Roman" w:hAnsi="Calibri" w:cs="Times New Roman"/>
                <w:color w:val="000000"/>
                <w:lang w:eastAsia="cs-CZ"/>
              </w:rPr>
            </w:pPr>
            <w:r>
              <w:rPr>
                <w:rFonts w:ascii="Calibri" w:hAnsi="Calibri" w:cs="Calibri"/>
                <w:b/>
                <w:bCs/>
                <w:color w:val="000000"/>
              </w:rPr>
              <w:t>182</w:t>
            </w:r>
          </w:p>
        </w:tc>
        <w:tc>
          <w:tcPr>
            <w:tcW w:w="1087" w:type="dxa"/>
            <w:shd w:val="clear" w:color="auto" w:fill="auto"/>
            <w:vAlign w:val="center"/>
          </w:tcPr>
          <w:p w14:paraId="2B765819" w14:textId="46B6C44A" w:rsidR="008519CC" w:rsidRPr="008C4A99" w:rsidRDefault="008519CC" w:rsidP="00917587">
            <w:pPr>
              <w:spacing w:after="0" w:line="240" w:lineRule="auto"/>
              <w:jc w:val="right"/>
              <w:rPr>
                <w:rFonts w:ascii="Calibri" w:eastAsia="Times New Roman" w:hAnsi="Calibri" w:cs="Times New Roman"/>
                <w:b/>
                <w:bCs/>
                <w:color w:val="000000"/>
                <w:lang w:eastAsia="cs-CZ"/>
              </w:rPr>
            </w:pPr>
            <w:r>
              <w:rPr>
                <w:rFonts w:ascii="Calibri" w:hAnsi="Calibri" w:cs="Calibri"/>
                <w:b/>
                <w:bCs/>
                <w:color w:val="000000"/>
              </w:rPr>
              <w:t>10</w:t>
            </w:r>
            <w:r w:rsidR="0011699E">
              <w:rPr>
                <w:rFonts w:ascii="Calibri" w:hAnsi="Calibri" w:cs="Calibri"/>
                <w:b/>
                <w:bCs/>
                <w:color w:val="000000"/>
              </w:rPr>
              <w:t xml:space="preserve"> </w:t>
            </w:r>
            <w:r w:rsidR="00793242">
              <w:rPr>
                <w:rFonts w:ascii="Calibri" w:hAnsi="Calibri" w:cs="Calibri"/>
                <w:b/>
                <w:bCs/>
                <w:color w:val="000000"/>
              </w:rPr>
              <w:t>464</w:t>
            </w:r>
          </w:p>
        </w:tc>
        <w:tc>
          <w:tcPr>
            <w:tcW w:w="1087" w:type="dxa"/>
            <w:shd w:val="clear" w:color="auto" w:fill="auto"/>
            <w:vAlign w:val="center"/>
          </w:tcPr>
          <w:p w14:paraId="761E87A1" w14:textId="5FBD52B2" w:rsidR="008519CC" w:rsidRPr="008C4A99" w:rsidRDefault="008519CC" w:rsidP="00917587">
            <w:pPr>
              <w:spacing w:after="0" w:line="240" w:lineRule="auto"/>
              <w:jc w:val="right"/>
              <w:rPr>
                <w:rFonts w:ascii="Calibri" w:eastAsia="Times New Roman" w:hAnsi="Calibri" w:cs="Times New Roman"/>
                <w:b/>
                <w:bCs/>
                <w:color w:val="000000"/>
                <w:lang w:eastAsia="cs-CZ"/>
              </w:rPr>
            </w:pPr>
            <w:r>
              <w:rPr>
                <w:rFonts w:ascii="Calibri" w:hAnsi="Calibri" w:cs="Calibri"/>
                <w:b/>
                <w:bCs/>
                <w:color w:val="000000"/>
              </w:rPr>
              <w:t>1</w:t>
            </w:r>
            <w:r w:rsidR="00793242">
              <w:rPr>
                <w:rFonts w:ascii="Calibri" w:hAnsi="Calibri" w:cs="Calibri"/>
                <w:b/>
                <w:bCs/>
                <w:color w:val="000000"/>
              </w:rPr>
              <w:t>6</w:t>
            </w:r>
            <w:r w:rsidR="00AB4A9C">
              <w:rPr>
                <w:rFonts w:ascii="Calibri" w:hAnsi="Calibri" w:cs="Calibri"/>
                <w:b/>
                <w:bCs/>
                <w:color w:val="000000"/>
              </w:rPr>
              <w:t xml:space="preserve"> </w:t>
            </w:r>
            <w:r w:rsidR="00793242">
              <w:rPr>
                <w:rFonts w:ascii="Calibri" w:hAnsi="Calibri" w:cs="Calibri"/>
                <w:b/>
                <w:bCs/>
                <w:color w:val="000000"/>
              </w:rPr>
              <w:t>028</w:t>
            </w:r>
          </w:p>
        </w:tc>
        <w:tc>
          <w:tcPr>
            <w:tcW w:w="944" w:type="dxa"/>
            <w:shd w:val="clear" w:color="auto" w:fill="auto"/>
            <w:vAlign w:val="center"/>
          </w:tcPr>
          <w:p w14:paraId="0C460F72" w14:textId="644878FF" w:rsidR="008519CC" w:rsidRPr="00E46128" w:rsidRDefault="008519CC" w:rsidP="00917587">
            <w:pPr>
              <w:spacing w:after="0" w:line="240" w:lineRule="auto"/>
              <w:jc w:val="right"/>
              <w:rPr>
                <w:rFonts w:ascii="Calibri" w:hAnsi="Calibri" w:cs="Calibri"/>
                <w:b/>
                <w:bCs/>
                <w:color w:val="000000"/>
                <w:highlight w:val="yellow"/>
              </w:rPr>
            </w:pPr>
            <w:r>
              <w:rPr>
                <w:rFonts w:ascii="Calibri" w:hAnsi="Calibri" w:cs="Calibri"/>
                <w:b/>
                <w:bCs/>
                <w:color w:val="000000"/>
              </w:rPr>
              <w:t>2</w:t>
            </w:r>
            <w:r w:rsidR="0070611A">
              <w:rPr>
                <w:rFonts w:ascii="Calibri" w:hAnsi="Calibri" w:cs="Calibri"/>
                <w:b/>
                <w:bCs/>
                <w:color w:val="000000"/>
              </w:rPr>
              <w:t xml:space="preserve"> </w:t>
            </w:r>
            <w:r>
              <w:rPr>
                <w:rFonts w:ascii="Calibri" w:hAnsi="Calibri" w:cs="Calibri"/>
                <w:b/>
                <w:bCs/>
                <w:color w:val="000000"/>
              </w:rPr>
              <w:t>312</w:t>
            </w:r>
          </w:p>
        </w:tc>
        <w:tc>
          <w:tcPr>
            <w:tcW w:w="1087" w:type="dxa"/>
            <w:shd w:val="clear" w:color="auto" w:fill="auto"/>
            <w:vAlign w:val="center"/>
          </w:tcPr>
          <w:p w14:paraId="76CB47E0" w14:textId="1F782C94" w:rsidR="008519CC" w:rsidRPr="00E46128" w:rsidRDefault="008519CC" w:rsidP="00917587">
            <w:pPr>
              <w:spacing w:after="0" w:line="240" w:lineRule="auto"/>
              <w:jc w:val="right"/>
              <w:rPr>
                <w:rFonts w:ascii="Calibri" w:hAnsi="Calibri" w:cs="Calibri"/>
                <w:b/>
                <w:bCs/>
                <w:color w:val="000000"/>
              </w:rPr>
            </w:pPr>
            <w:r>
              <w:rPr>
                <w:rFonts w:ascii="Calibri" w:hAnsi="Calibri" w:cs="Calibri"/>
                <w:b/>
                <w:bCs/>
                <w:color w:val="000000"/>
              </w:rPr>
              <w:t>29</w:t>
            </w:r>
            <w:r w:rsidR="00172C0A">
              <w:rPr>
                <w:rFonts w:ascii="Calibri" w:hAnsi="Calibri" w:cs="Calibri"/>
                <w:b/>
                <w:bCs/>
                <w:color w:val="000000"/>
              </w:rPr>
              <w:t xml:space="preserve"> </w:t>
            </w:r>
            <w:r>
              <w:rPr>
                <w:rFonts w:ascii="Calibri" w:hAnsi="Calibri" w:cs="Calibri"/>
                <w:b/>
                <w:bCs/>
                <w:color w:val="000000"/>
              </w:rPr>
              <w:t>%</w:t>
            </w:r>
          </w:p>
        </w:tc>
      </w:tr>
    </w:tbl>
    <w:p w14:paraId="4C33DC85" w14:textId="77777777" w:rsidR="00172C0A" w:rsidRDefault="001D2AAC" w:rsidP="00172C0A">
      <w:pPr>
        <w:spacing w:before="240" w:after="120"/>
        <w:jc w:val="both"/>
        <w:rPr>
          <w:szCs w:val="24"/>
        </w:rPr>
      </w:pPr>
      <w:r>
        <w:rPr>
          <w:szCs w:val="24"/>
        </w:rPr>
        <w:t>Rozdělení podpořených projektů podle širších vědních oborů IS VaVaI je uvedeno v</w:t>
      </w:r>
      <w:r w:rsidR="00172C0A">
        <w:rPr>
          <w:szCs w:val="24"/>
        </w:rPr>
        <w:t> následující t</w:t>
      </w:r>
      <w:r>
        <w:rPr>
          <w:szCs w:val="24"/>
        </w:rPr>
        <w:t>abulce</w:t>
      </w:r>
      <w:r w:rsidRPr="00EA7DA7">
        <w:rPr>
          <w:szCs w:val="24"/>
        </w:rPr>
        <w:t>.</w:t>
      </w:r>
      <w:r>
        <w:rPr>
          <w:szCs w:val="24"/>
        </w:rPr>
        <w:t xml:space="preserve"> </w:t>
      </w:r>
      <w:r w:rsidR="00172C0A">
        <w:rPr>
          <w:szCs w:val="24"/>
        </w:rPr>
        <w:t>Přes 60 % p</w:t>
      </w:r>
      <w:r>
        <w:rPr>
          <w:szCs w:val="24"/>
        </w:rPr>
        <w:t>roj</w:t>
      </w:r>
      <w:r w:rsidRPr="00C109C1">
        <w:rPr>
          <w:szCs w:val="24"/>
        </w:rPr>
        <w:t>e</w:t>
      </w:r>
      <w:r>
        <w:rPr>
          <w:szCs w:val="24"/>
        </w:rPr>
        <w:t>k</w:t>
      </w:r>
      <w:r w:rsidRPr="00C109C1">
        <w:rPr>
          <w:szCs w:val="24"/>
        </w:rPr>
        <w:t xml:space="preserve">tů, které </w:t>
      </w:r>
      <w:r>
        <w:rPr>
          <w:szCs w:val="24"/>
        </w:rPr>
        <w:t>jsou v Programu podpořeny, je zaměřen na průmyslové obory</w:t>
      </w:r>
      <w:r w:rsidR="00172C0A">
        <w:rPr>
          <w:szCs w:val="24"/>
        </w:rPr>
        <w:t>. Ostatní obory jsou již zastoupeny relativně rovnoměrně.</w:t>
      </w:r>
      <w:r>
        <w:rPr>
          <w:szCs w:val="24"/>
        </w:rPr>
        <w:t xml:space="preserve"> </w:t>
      </w:r>
    </w:p>
    <w:p w14:paraId="7B04276C" w14:textId="58AE30BC" w:rsidR="002F3D89" w:rsidRPr="002F3D89" w:rsidRDefault="002F3D89" w:rsidP="00A7392F">
      <w:pPr>
        <w:pStyle w:val="Titulek"/>
      </w:pPr>
      <w:bookmarkStart w:id="33" w:name="_Toc150180767"/>
      <w:bookmarkStart w:id="34" w:name="_Toc185334579"/>
      <w:r w:rsidRPr="00CD3F5E">
        <w:t xml:space="preserve">Tabulka </w:t>
      </w:r>
      <w:r w:rsidR="00353407">
        <w:fldChar w:fldCharType="begin"/>
      </w:r>
      <w:r w:rsidR="00353407">
        <w:instrText xml:space="preserve"> SEQ Tabulka \* ARABIC </w:instrText>
      </w:r>
      <w:r w:rsidR="00353407">
        <w:fldChar w:fldCharType="separate"/>
      </w:r>
      <w:r w:rsidR="00353407">
        <w:rPr>
          <w:noProof/>
        </w:rPr>
        <w:t>12</w:t>
      </w:r>
      <w:r w:rsidR="00353407">
        <w:rPr>
          <w:noProof/>
        </w:rPr>
        <w:fldChar w:fldCharType="end"/>
      </w:r>
      <w:r w:rsidRPr="00CD3F5E">
        <w:t xml:space="preserve">: </w:t>
      </w:r>
      <w:r w:rsidR="00C249C9">
        <w:t xml:space="preserve">Podpořené projekty podle </w:t>
      </w:r>
      <w:r w:rsidRPr="00CD3F5E">
        <w:t>vědních oborů IS VaVaI</w:t>
      </w:r>
      <w:bookmarkEnd w:id="33"/>
      <w:bookmarkEnd w:id="34"/>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980"/>
        <w:gridCol w:w="900"/>
        <w:gridCol w:w="1684"/>
        <w:gridCol w:w="992"/>
        <w:gridCol w:w="1417"/>
        <w:gridCol w:w="993"/>
        <w:gridCol w:w="927"/>
      </w:tblGrid>
      <w:tr w:rsidR="002F3D89" w:rsidRPr="002F3D89" w14:paraId="7B0BDCF8" w14:textId="77777777" w:rsidTr="002342AB">
        <w:trPr>
          <w:trHeight w:val="832"/>
        </w:trPr>
        <w:tc>
          <w:tcPr>
            <w:tcW w:w="960" w:type="dxa"/>
            <w:shd w:val="clear" w:color="auto" w:fill="B9E0F7" w:themeFill="accent5"/>
            <w:noWrap/>
            <w:vAlign w:val="center"/>
            <w:hideMark/>
          </w:tcPr>
          <w:p w14:paraId="495802FD"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Kód</w:t>
            </w:r>
          </w:p>
        </w:tc>
        <w:tc>
          <w:tcPr>
            <w:tcW w:w="1980" w:type="dxa"/>
            <w:shd w:val="clear" w:color="auto" w:fill="B9E0F7" w:themeFill="accent5"/>
            <w:noWrap/>
            <w:vAlign w:val="center"/>
            <w:hideMark/>
          </w:tcPr>
          <w:p w14:paraId="50778697"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Širší obor</w:t>
            </w:r>
          </w:p>
        </w:tc>
        <w:tc>
          <w:tcPr>
            <w:tcW w:w="900" w:type="dxa"/>
            <w:shd w:val="clear" w:color="auto" w:fill="B9E0F7" w:themeFill="accent5"/>
            <w:vAlign w:val="center"/>
            <w:hideMark/>
          </w:tcPr>
          <w:p w14:paraId="1473312A"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Počet projektů</w:t>
            </w:r>
          </w:p>
        </w:tc>
        <w:tc>
          <w:tcPr>
            <w:tcW w:w="1684" w:type="dxa"/>
            <w:shd w:val="clear" w:color="auto" w:fill="B9E0F7" w:themeFill="accent5"/>
            <w:vAlign w:val="center"/>
            <w:hideMark/>
          </w:tcPr>
          <w:p w14:paraId="2231D7B9" w14:textId="093CCAAB" w:rsidR="002F3D89" w:rsidRPr="002F3D89" w:rsidRDefault="002F3D89" w:rsidP="003647ED">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Podíl projektů z</w:t>
            </w:r>
            <w:r w:rsidR="00CE7C79">
              <w:rPr>
                <w:rFonts w:ascii="Calibri" w:eastAsia="Times New Roman" w:hAnsi="Calibri" w:cs="Times New Roman"/>
                <w:color w:val="000000"/>
                <w:lang w:eastAsia="cs-CZ"/>
              </w:rPr>
              <w:t> </w:t>
            </w:r>
            <w:r w:rsidRPr="002F3D89">
              <w:rPr>
                <w:rFonts w:ascii="Calibri" w:eastAsia="Times New Roman" w:hAnsi="Calibri" w:cs="Times New Roman"/>
                <w:color w:val="000000"/>
                <w:lang w:eastAsia="cs-CZ"/>
              </w:rPr>
              <w:t>jejich celkového počtu</w:t>
            </w:r>
          </w:p>
        </w:tc>
        <w:tc>
          <w:tcPr>
            <w:tcW w:w="992" w:type="dxa"/>
            <w:shd w:val="clear" w:color="auto" w:fill="B9E0F7" w:themeFill="accent5"/>
            <w:vAlign w:val="center"/>
            <w:hideMark/>
          </w:tcPr>
          <w:p w14:paraId="6D2DA846"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Celkové náklady (mil. Kč)</w:t>
            </w:r>
          </w:p>
        </w:tc>
        <w:tc>
          <w:tcPr>
            <w:tcW w:w="1417" w:type="dxa"/>
            <w:shd w:val="clear" w:color="auto" w:fill="B9E0F7" w:themeFill="accent5"/>
            <w:vAlign w:val="center"/>
            <w:hideMark/>
          </w:tcPr>
          <w:p w14:paraId="0B9D7DFE" w14:textId="6BAAD56F"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Průměrné náklady na jeden projekt (mil. Kč)</w:t>
            </w:r>
          </w:p>
        </w:tc>
        <w:tc>
          <w:tcPr>
            <w:tcW w:w="993" w:type="dxa"/>
            <w:shd w:val="clear" w:color="auto" w:fill="B9E0F7" w:themeFill="accent5"/>
            <w:vAlign w:val="center"/>
            <w:hideMark/>
          </w:tcPr>
          <w:p w14:paraId="33F736CA"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Veřejná podpora (mil. Kč)</w:t>
            </w:r>
          </w:p>
        </w:tc>
        <w:tc>
          <w:tcPr>
            <w:tcW w:w="927" w:type="dxa"/>
            <w:shd w:val="clear" w:color="auto" w:fill="B9E0F7" w:themeFill="accent5"/>
            <w:vAlign w:val="center"/>
            <w:hideMark/>
          </w:tcPr>
          <w:p w14:paraId="2DFDC218" w14:textId="77777777" w:rsidR="002F3D89" w:rsidRPr="002F3D89" w:rsidRDefault="002F3D89" w:rsidP="002F3D89">
            <w:pPr>
              <w:spacing w:after="0" w:line="240" w:lineRule="auto"/>
              <w:jc w:val="center"/>
              <w:rPr>
                <w:rFonts w:ascii="Calibri" w:eastAsia="Times New Roman" w:hAnsi="Calibri" w:cs="Times New Roman"/>
                <w:color w:val="000000"/>
                <w:lang w:eastAsia="cs-CZ"/>
              </w:rPr>
            </w:pPr>
            <w:r w:rsidRPr="002F3D89">
              <w:rPr>
                <w:rFonts w:ascii="Calibri" w:eastAsia="Times New Roman" w:hAnsi="Calibri" w:cs="Times New Roman"/>
                <w:color w:val="000000"/>
                <w:lang w:eastAsia="cs-CZ"/>
              </w:rPr>
              <w:t>Intenzita podpory</w:t>
            </w:r>
          </w:p>
        </w:tc>
      </w:tr>
      <w:tr w:rsidR="00765CB9" w:rsidRPr="002F3D89" w14:paraId="48207B46" w14:textId="77777777" w:rsidTr="00917587">
        <w:trPr>
          <w:trHeight w:val="340"/>
        </w:trPr>
        <w:tc>
          <w:tcPr>
            <w:tcW w:w="960" w:type="dxa"/>
            <w:shd w:val="clear" w:color="auto" w:fill="auto"/>
            <w:noWrap/>
            <w:vAlign w:val="center"/>
            <w:hideMark/>
          </w:tcPr>
          <w:p w14:paraId="11291686" w14:textId="6B7B05C8"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A</w:t>
            </w:r>
          </w:p>
        </w:tc>
        <w:tc>
          <w:tcPr>
            <w:tcW w:w="1980" w:type="dxa"/>
            <w:shd w:val="clear" w:color="auto" w:fill="auto"/>
            <w:noWrap/>
            <w:vAlign w:val="center"/>
            <w:hideMark/>
          </w:tcPr>
          <w:p w14:paraId="7051D30A" w14:textId="48C8725D"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Společenské vědy</w:t>
            </w:r>
          </w:p>
        </w:tc>
        <w:tc>
          <w:tcPr>
            <w:tcW w:w="900" w:type="dxa"/>
            <w:shd w:val="clear" w:color="auto" w:fill="auto"/>
            <w:noWrap/>
            <w:vAlign w:val="center"/>
          </w:tcPr>
          <w:p w14:paraId="0E1A27F6" w14:textId="43BD50A6"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12</w:t>
            </w:r>
          </w:p>
        </w:tc>
        <w:tc>
          <w:tcPr>
            <w:tcW w:w="1684" w:type="dxa"/>
            <w:shd w:val="clear" w:color="auto" w:fill="auto"/>
            <w:noWrap/>
            <w:vAlign w:val="center"/>
          </w:tcPr>
          <w:p w14:paraId="1C7BCFA0" w14:textId="618202D4"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w:t>
            </w:r>
            <w:r w:rsidR="00917587">
              <w:t xml:space="preserve"> </w:t>
            </w:r>
            <w:r w:rsidRPr="00315AFB">
              <w:t>%</w:t>
            </w:r>
          </w:p>
        </w:tc>
        <w:tc>
          <w:tcPr>
            <w:tcW w:w="992" w:type="dxa"/>
            <w:shd w:val="clear" w:color="auto" w:fill="auto"/>
            <w:noWrap/>
            <w:vAlign w:val="center"/>
          </w:tcPr>
          <w:p w14:paraId="54D8FCFF" w14:textId="198F385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219</w:t>
            </w:r>
          </w:p>
        </w:tc>
        <w:tc>
          <w:tcPr>
            <w:tcW w:w="1417" w:type="dxa"/>
            <w:shd w:val="clear" w:color="auto" w:fill="auto"/>
            <w:noWrap/>
            <w:vAlign w:val="center"/>
          </w:tcPr>
          <w:p w14:paraId="236EB49B" w14:textId="709DE25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18,2</w:t>
            </w:r>
          </w:p>
        </w:tc>
        <w:tc>
          <w:tcPr>
            <w:tcW w:w="993" w:type="dxa"/>
            <w:shd w:val="clear" w:color="auto" w:fill="auto"/>
            <w:noWrap/>
            <w:vAlign w:val="center"/>
          </w:tcPr>
          <w:p w14:paraId="69135C59" w14:textId="4C25EEBF"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148</w:t>
            </w:r>
          </w:p>
        </w:tc>
        <w:tc>
          <w:tcPr>
            <w:tcW w:w="927" w:type="dxa"/>
            <w:shd w:val="clear" w:color="auto" w:fill="auto"/>
            <w:noWrap/>
            <w:vAlign w:val="center"/>
          </w:tcPr>
          <w:p w14:paraId="26CAAB75" w14:textId="5F7FEA7C"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68</w:t>
            </w:r>
            <w:r w:rsidR="00172C0A">
              <w:t xml:space="preserve"> </w:t>
            </w:r>
            <w:r w:rsidRPr="00315AFB">
              <w:t>%</w:t>
            </w:r>
          </w:p>
        </w:tc>
      </w:tr>
      <w:tr w:rsidR="00765CB9" w:rsidRPr="002F3D89" w14:paraId="0306159B" w14:textId="77777777" w:rsidTr="00917587">
        <w:trPr>
          <w:trHeight w:val="340"/>
        </w:trPr>
        <w:tc>
          <w:tcPr>
            <w:tcW w:w="960" w:type="dxa"/>
            <w:shd w:val="clear" w:color="auto" w:fill="auto"/>
            <w:noWrap/>
            <w:vAlign w:val="center"/>
            <w:hideMark/>
          </w:tcPr>
          <w:p w14:paraId="2126091E" w14:textId="0AE8F7B0"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B</w:t>
            </w:r>
          </w:p>
        </w:tc>
        <w:tc>
          <w:tcPr>
            <w:tcW w:w="1980" w:type="dxa"/>
            <w:shd w:val="clear" w:color="auto" w:fill="auto"/>
            <w:noWrap/>
            <w:vAlign w:val="center"/>
            <w:hideMark/>
          </w:tcPr>
          <w:p w14:paraId="4B3891D3" w14:textId="7F3EABC3"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Fyzika a matematika</w:t>
            </w:r>
          </w:p>
        </w:tc>
        <w:tc>
          <w:tcPr>
            <w:tcW w:w="900" w:type="dxa"/>
            <w:shd w:val="clear" w:color="auto" w:fill="auto"/>
            <w:noWrap/>
            <w:vAlign w:val="center"/>
          </w:tcPr>
          <w:p w14:paraId="543F21E5" w14:textId="069C4E86"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34</w:t>
            </w:r>
          </w:p>
        </w:tc>
        <w:tc>
          <w:tcPr>
            <w:tcW w:w="1684" w:type="dxa"/>
            <w:shd w:val="clear" w:color="auto" w:fill="auto"/>
            <w:noWrap/>
            <w:vAlign w:val="center"/>
          </w:tcPr>
          <w:p w14:paraId="15042AA8" w14:textId="53B356C1"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5</w:t>
            </w:r>
            <w:r w:rsidR="00917587">
              <w:t xml:space="preserve"> </w:t>
            </w:r>
            <w:r w:rsidRPr="00315AFB">
              <w:t>%</w:t>
            </w:r>
          </w:p>
        </w:tc>
        <w:tc>
          <w:tcPr>
            <w:tcW w:w="992" w:type="dxa"/>
            <w:shd w:val="clear" w:color="auto" w:fill="auto"/>
            <w:noWrap/>
            <w:vAlign w:val="center"/>
          </w:tcPr>
          <w:p w14:paraId="5BE5280D" w14:textId="47E731EC"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863</w:t>
            </w:r>
          </w:p>
        </w:tc>
        <w:tc>
          <w:tcPr>
            <w:tcW w:w="1417" w:type="dxa"/>
            <w:shd w:val="clear" w:color="auto" w:fill="auto"/>
            <w:noWrap/>
            <w:vAlign w:val="center"/>
          </w:tcPr>
          <w:p w14:paraId="013E5D55" w14:textId="540DC965"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25,4</w:t>
            </w:r>
          </w:p>
        </w:tc>
        <w:tc>
          <w:tcPr>
            <w:tcW w:w="993" w:type="dxa"/>
            <w:shd w:val="clear" w:color="auto" w:fill="auto"/>
            <w:noWrap/>
            <w:vAlign w:val="center"/>
          </w:tcPr>
          <w:p w14:paraId="508F3ADA" w14:textId="41DF8E11"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573</w:t>
            </w:r>
          </w:p>
        </w:tc>
        <w:tc>
          <w:tcPr>
            <w:tcW w:w="927" w:type="dxa"/>
            <w:shd w:val="clear" w:color="auto" w:fill="auto"/>
            <w:noWrap/>
            <w:vAlign w:val="center"/>
          </w:tcPr>
          <w:p w14:paraId="21D1A726" w14:textId="495388C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66</w:t>
            </w:r>
            <w:r w:rsidR="00172C0A">
              <w:t xml:space="preserve"> </w:t>
            </w:r>
            <w:r w:rsidRPr="00315AFB">
              <w:t>%</w:t>
            </w:r>
          </w:p>
        </w:tc>
      </w:tr>
      <w:tr w:rsidR="00765CB9" w:rsidRPr="002F3D89" w14:paraId="3EAF2D01" w14:textId="77777777" w:rsidTr="00917587">
        <w:trPr>
          <w:trHeight w:val="340"/>
        </w:trPr>
        <w:tc>
          <w:tcPr>
            <w:tcW w:w="960" w:type="dxa"/>
            <w:shd w:val="clear" w:color="auto" w:fill="auto"/>
            <w:noWrap/>
            <w:vAlign w:val="center"/>
            <w:hideMark/>
          </w:tcPr>
          <w:p w14:paraId="1B7782A6" w14:textId="36D6E944"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C</w:t>
            </w:r>
          </w:p>
        </w:tc>
        <w:tc>
          <w:tcPr>
            <w:tcW w:w="1980" w:type="dxa"/>
            <w:shd w:val="clear" w:color="auto" w:fill="auto"/>
            <w:noWrap/>
            <w:vAlign w:val="center"/>
            <w:hideMark/>
          </w:tcPr>
          <w:p w14:paraId="52DBDBA5" w14:textId="6D343F60"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Chemie</w:t>
            </w:r>
          </w:p>
        </w:tc>
        <w:tc>
          <w:tcPr>
            <w:tcW w:w="900" w:type="dxa"/>
            <w:shd w:val="clear" w:color="auto" w:fill="auto"/>
            <w:noWrap/>
            <w:vAlign w:val="center"/>
          </w:tcPr>
          <w:p w14:paraId="57862268" w14:textId="66DFFC74"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47</w:t>
            </w:r>
          </w:p>
        </w:tc>
        <w:tc>
          <w:tcPr>
            <w:tcW w:w="1684" w:type="dxa"/>
            <w:shd w:val="clear" w:color="auto" w:fill="auto"/>
            <w:noWrap/>
            <w:vAlign w:val="center"/>
          </w:tcPr>
          <w:p w14:paraId="4FE2C4F9" w14:textId="22141EDB"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w:t>
            </w:r>
            <w:r w:rsidR="00917587">
              <w:t xml:space="preserve"> </w:t>
            </w:r>
            <w:r w:rsidRPr="00315AFB">
              <w:t>%</w:t>
            </w:r>
          </w:p>
        </w:tc>
        <w:tc>
          <w:tcPr>
            <w:tcW w:w="992" w:type="dxa"/>
            <w:shd w:val="clear" w:color="auto" w:fill="auto"/>
            <w:noWrap/>
            <w:vAlign w:val="center"/>
          </w:tcPr>
          <w:p w14:paraId="49AB7274" w14:textId="5F60E40E"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1 106</w:t>
            </w:r>
          </w:p>
        </w:tc>
        <w:tc>
          <w:tcPr>
            <w:tcW w:w="1417" w:type="dxa"/>
            <w:shd w:val="clear" w:color="auto" w:fill="auto"/>
            <w:noWrap/>
            <w:vAlign w:val="center"/>
          </w:tcPr>
          <w:p w14:paraId="5152987E" w14:textId="3083B1A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23,5</w:t>
            </w:r>
          </w:p>
        </w:tc>
        <w:tc>
          <w:tcPr>
            <w:tcW w:w="993" w:type="dxa"/>
            <w:shd w:val="clear" w:color="auto" w:fill="auto"/>
            <w:noWrap/>
            <w:vAlign w:val="center"/>
          </w:tcPr>
          <w:p w14:paraId="68B0F722" w14:textId="082A229F"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714</w:t>
            </w:r>
          </w:p>
        </w:tc>
        <w:tc>
          <w:tcPr>
            <w:tcW w:w="927" w:type="dxa"/>
            <w:shd w:val="clear" w:color="auto" w:fill="auto"/>
            <w:noWrap/>
            <w:vAlign w:val="center"/>
          </w:tcPr>
          <w:p w14:paraId="6805B9A0" w14:textId="24B37CE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65</w:t>
            </w:r>
            <w:r w:rsidR="00172C0A">
              <w:t xml:space="preserve"> </w:t>
            </w:r>
            <w:r w:rsidRPr="00315AFB">
              <w:t>%</w:t>
            </w:r>
          </w:p>
        </w:tc>
      </w:tr>
      <w:tr w:rsidR="00765CB9" w:rsidRPr="002F3D89" w14:paraId="0413F870" w14:textId="77777777" w:rsidTr="00917587">
        <w:trPr>
          <w:trHeight w:val="340"/>
        </w:trPr>
        <w:tc>
          <w:tcPr>
            <w:tcW w:w="960" w:type="dxa"/>
            <w:shd w:val="clear" w:color="auto" w:fill="auto"/>
            <w:noWrap/>
            <w:vAlign w:val="center"/>
            <w:hideMark/>
          </w:tcPr>
          <w:p w14:paraId="615E5F32" w14:textId="132856BB"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D</w:t>
            </w:r>
          </w:p>
        </w:tc>
        <w:tc>
          <w:tcPr>
            <w:tcW w:w="1980" w:type="dxa"/>
            <w:shd w:val="clear" w:color="auto" w:fill="auto"/>
            <w:noWrap/>
            <w:vAlign w:val="center"/>
            <w:hideMark/>
          </w:tcPr>
          <w:p w14:paraId="7C76E737" w14:textId="7CB94D7C"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Vědy o Zemi</w:t>
            </w:r>
          </w:p>
        </w:tc>
        <w:tc>
          <w:tcPr>
            <w:tcW w:w="900" w:type="dxa"/>
            <w:shd w:val="clear" w:color="auto" w:fill="auto"/>
            <w:noWrap/>
            <w:vAlign w:val="center"/>
          </w:tcPr>
          <w:p w14:paraId="789111F4" w14:textId="27833315"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26</w:t>
            </w:r>
          </w:p>
        </w:tc>
        <w:tc>
          <w:tcPr>
            <w:tcW w:w="1684" w:type="dxa"/>
            <w:shd w:val="clear" w:color="auto" w:fill="auto"/>
            <w:noWrap/>
            <w:vAlign w:val="center"/>
          </w:tcPr>
          <w:p w14:paraId="706AA9E9" w14:textId="78F06AE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w:t>
            </w:r>
            <w:r w:rsidR="00917587">
              <w:t xml:space="preserve"> </w:t>
            </w:r>
            <w:r w:rsidRPr="00315AFB">
              <w:t>%</w:t>
            </w:r>
          </w:p>
        </w:tc>
        <w:tc>
          <w:tcPr>
            <w:tcW w:w="992" w:type="dxa"/>
            <w:shd w:val="clear" w:color="auto" w:fill="auto"/>
            <w:noWrap/>
            <w:vAlign w:val="center"/>
          </w:tcPr>
          <w:p w14:paraId="47053B9E" w14:textId="678492C3"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593</w:t>
            </w:r>
          </w:p>
        </w:tc>
        <w:tc>
          <w:tcPr>
            <w:tcW w:w="1417" w:type="dxa"/>
            <w:shd w:val="clear" w:color="auto" w:fill="auto"/>
            <w:noWrap/>
            <w:vAlign w:val="center"/>
          </w:tcPr>
          <w:p w14:paraId="2ECCEC80" w14:textId="4F9CB29F"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22,8</w:t>
            </w:r>
          </w:p>
        </w:tc>
        <w:tc>
          <w:tcPr>
            <w:tcW w:w="993" w:type="dxa"/>
            <w:shd w:val="clear" w:color="auto" w:fill="auto"/>
            <w:noWrap/>
            <w:vAlign w:val="center"/>
          </w:tcPr>
          <w:p w14:paraId="0699A4A6" w14:textId="67BC0A7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411</w:t>
            </w:r>
          </w:p>
        </w:tc>
        <w:tc>
          <w:tcPr>
            <w:tcW w:w="927" w:type="dxa"/>
            <w:shd w:val="clear" w:color="auto" w:fill="auto"/>
            <w:noWrap/>
            <w:vAlign w:val="center"/>
          </w:tcPr>
          <w:p w14:paraId="4F4E25FB" w14:textId="14CAB93B"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69</w:t>
            </w:r>
            <w:r w:rsidR="00172C0A">
              <w:t xml:space="preserve"> </w:t>
            </w:r>
            <w:r w:rsidRPr="00315AFB">
              <w:t>%</w:t>
            </w:r>
          </w:p>
        </w:tc>
      </w:tr>
      <w:tr w:rsidR="00765CB9" w:rsidRPr="002F3D89" w14:paraId="7D641BB8" w14:textId="77777777" w:rsidTr="00917587">
        <w:trPr>
          <w:trHeight w:val="340"/>
        </w:trPr>
        <w:tc>
          <w:tcPr>
            <w:tcW w:w="960" w:type="dxa"/>
            <w:shd w:val="clear" w:color="auto" w:fill="auto"/>
            <w:noWrap/>
            <w:vAlign w:val="center"/>
            <w:hideMark/>
          </w:tcPr>
          <w:p w14:paraId="0D2E8388" w14:textId="3A43B391"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E</w:t>
            </w:r>
          </w:p>
        </w:tc>
        <w:tc>
          <w:tcPr>
            <w:tcW w:w="1980" w:type="dxa"/>
            <w:shd w:val="clear" w:color="auto" w:fill="auto"/>
            <w:noWrap/>
            <w:vAlign w:val="center"/>
            <w:hideMark/>
          </w:tcPr>
          <w:p w14:paraId="4C78BDA4" w14:textId="60D71E89"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Biovědy</w:t>
            </w:r>
          </w:p>
        </w:tc>
        <w:tc>
          <w:tcPr>
            <w:tcW w:w="900" w:type="dxa"/>
            <w:shd w:val="clear" w:color="auto" w:fill="auto"/>
            <w:noWrap/>
            <w:vAlign w:val="center"/>
          </w:tcPr>
          <w:p w14:paraId="4F10101F" w14:textId="190B49B0"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18</w:t>
            </w:r>
          </w:p>
        </w:tc>
        <w:tc>
          <w:tcPr>
            <w:tcW w:w="1684" w:type="dxa"/>
            <w:shd w:val="clear" w:color="auto" w:fill="auto"/>
            <w:noWrap/>
            <w:vAlign w:val="center"/>
          </w:tcPr>
          <w:p w14:paraId="36476368" w14:textId="3A414A33"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3</w:t>
            </w:r>
            <w:r w:rsidR="00917587">
              <w:t xml:space="preserve"> </w:t>
            </w:r>
            <w:r w:rsidRPr="00315AFB">
              <w:t>%</w:t>
            </w:r>
          </w:p>
        </w:tc>
        <w:tc>
          <w:tcPr>
            <w:tcW w:w="992" w:type="dxa"/>
            <w:shd w:val="clear" w:color="auto" w:fill="auto"/>
            <w:noWrap/>
            <w:vAlign w:val="center"/>
          </w:tcPr>
          <w:p w14:paraId="6BBD6711" w14:textId="1832D6BE"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433</w:t>
            </w:r>
          </w:p>
        </w:tc>
        <w:tc>
          <w:tcPr>
            <w:tcW w:w="1417" w:type="dxa"/>
            <w:shd w:val="clear" w:color="auto" w:fill="auto"/>
            <w:noWrap/>
            <w:vAlign w:val="center"/>
          </w:tcPr>
          <w:p w14:paraId="5C27F2A8" w14:textId="49EC267F"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24,1</w:t>
            </w:r>
          </w:p>
        </w:tc>
        <w:tc>
          <w:tcPr>
            <w:tcW w:w="993" w:type="dxa"/>
            <w:shd w:val="clear" w:color="auto" w:fill="auto"/>
            <w:noWrap/>
            <w:vAlign w:val="center"/>
          </w:tcPr>
          <w:p w14:paraId="0394FE10" w14:textId="6DA4DB7D"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291</w:t>
            </w:r>
          </w:p>
        </w:tc>
        <w:tc>
          <w:tcPr>
            <w:tcW w:w="927" w:type="dxa"/>
            <w:shd w:val="clear" w:color="auto" w:fill="auto"/>
            <w:noWrap/>
            <w:vAlign w:val="center"/>
          </w:tcPr>
          <w:p w14:paraId="05E355ED" w14:textId="4030B8B7"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67</w:t>
            </w:r>
            <w:r w:rsidR="00172C0A">
              <w:t xml:space="preserve"> </w:t>
            </w:r>
            <w:r w:rsidRPr="00315AFB">
              <w:t>%</w:t>
            </w:r>
          </w:p>
        </w:tc>
      </w:tr>
      <w:tr w:rsidR="00765CB9" w:rsidRPr="002F3D89" w14:paraId="079B4EA4" w14:textId="77777777" w:rsidTr="00917587">
        <w:trPr>
          <w:trHeight w:val="340"/>
        </w:trPr>
        <w:tc>
          <w:tcPr>
            <w:tcW w:w="960" w:type="dxa"/>
            <w:shd w:val="clear" w:color="auto" w:fill="auto"/>
            <w:noWrap/>
            <w:vAlign w:val="center"/>
            <w:hideMark/>
          </w:tcPr>
          <w:p w14:paraId="04884BA5" w14:textId="7C86B0F4"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F</w:t>
            </w:r>
          </w:p>
        </w:tc>
        <w:tc>
          <w:tcPr>
            <w:tcW w:w="1980" w:type="dxa"/>
            <w:shd w:val="clear" w:color="auto" w:fill="auto"/>
            <w:noWrap/>
            <w:vAlign w:val="center"/>
            <w:hideMark/>
          </w:tcPr>
          <w:p w14:paraId="7BCABEB2" w14:textId="59B538E1"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Lékařské vědy</w:t>
            </w:r>
          </w:p>
        </w:tc>
        <w:tc>
          <w:tcPr>
            <w:tcW w:w="900" w:type="dxa"/>
            <w:shd w:val="clear" w:color="auto" w:fill="auto"/>
            <w:noWrap/>
            <w:vAlign w:val="center"/>
          </w:tcPr>
          <w:p w14:paraId="2C02B6FD" w14:textId="38F5E157"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49</w:t>
            </w:r>
          </w:p>
        </w:tc>
        <w:tc>
          <w:tcPr>
            <w:tcW w:w="1684" w:type="dxa"/>
            <w:shd w:val="clear" w:color="auto" w:fill="auto"/>
            <w:noWrap/>
            <w:vAlign w:val="center"/>
          </w:tcPr>
          <w:p w14:paraId="7F32D95B" w14:textId="75C86828"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w:t>
            </w:r>
            <w:r w:rsidR="00917587">
              <w:t xml:space="preserve"> </w:t>
            </w:r>
            <w:r w:rsidRPr="00315AFB">
              <w:t>%</w:t>
            </w:r>
          </w:p>
        </w:tc>
        <w:tc>
          <w:tcPr>
            <w:tcW w:w="992" w:type="dxa"/>
            <w:shd w:val="clear" w:color="auto" w:fill="auto"/>
            <w:noWrap/>
            <w:vAlign w:val="center"/>
          </w:tcPr>
          <w:p w14:paraId="5CC962E8" w14:textId="3E68C22E"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1 182</w:t>
            </w:r>
          </w:p>
        </w:tc>
        <w:tc>
          <w:tcPr>
            <w:tcW w:w="1417" w:type="dxa"/>
            <w:shd w:val="clear" w:color="auto" w:fill="auto"/>
            <w:noWrap/>
            <w:vAlign w:val="center"/>
          </w:tcPr>
          <w:p w14:paraId="34E43905" w14:textId="72E2C313"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24,1</w:t>
            </w:r>
          </w:p>
        </w:tc>
        <w:tc>
          <w:tcPr>
            <w:tcW w:w="993" w:type="dxa"/>
            <w:shd w:val="clear" w:color="auto" w:fill="auto"/>
            <w:noWrap/>
            <w:vAlign w:val="center"/>
          </w:tcPr>
          <w:p w14:paraId="326C4D62" w14:textId="657AE896"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798</w:t>
            </w:r>
          </w:p>
        </w:tc>
        <w:tc>
          <w:tcPr>
            <w:tcW w:w="927" w:type="dxa"/>
            <w:shd w:val="clear" w:color="auto" w:fill="auto"/>
            <w:noWrap/>
            <w:vAlign w:val="center"/>
          </w:tcPr>
          <w:p w14:paraId="7FE176E6" w14:textId="282B2BBC"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67</w:t>
            </w:r>
            <w:r w:rsidR="00172C0A">
              <w:t xml:space="preserve"> </w:t>
            </w:r>
            <w:r w:rsidRPr="00315AFB">
              <w:t>%</w:t>
            </w:r>
          </w:p>
        </w:tc>
      </w:tr>
      <w:tr w:rsidR="00765CB9" w:rsidRPr="002F3D89" w14:paraId="7A51038B" w14:textId="77777777" w:rsidTr="00917587">
        <w:trPr>
          <w:trHeight w:val="340"/>
        </w:trPr>
        <w:tc>
          <w:tcPr>
            <w:tcW w:w="960" w:type="dxa"/>
            <w:shd w:val="clear" w:color="auto" w:fill="auto"/>
            <w:noWrap/>
            <w:vAlign w:val="center"/>
            <w:hideMark/>
          </w:tcPr>
          <w:p w14:paraId="6C24B16F" w14:textId="2373E464"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G</w:t>
            </w:r>
          </w:p>
        </w:tc>
        <w:tc>
          <w:tcPr>
            <w:tcW w:w="1980" w:type="dxa"/>
            <w:shd w:val="clear" w:color="auto" w:fill="auto"/>
            <w:noWrap/>
            <w:vAlign w:val="center"/>
            <w:hideMark/>
          </w:tcPr>
          <w:p w14:paraId="56B7D095" w14:textId="16B92BA2"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Zemědělství</w:t>
            </w:r>
          </w:p>
        </w:tc>
        <w:tc>
          <w:tcPr>
            <w:tcW w:w="900" w:type="dxa"/>
            <w:shd w:val="clear" w:color="auto" w:fill="auto"/>
            <w:noWrap/>
            <w:vAlign w:val="center"/>
          </w:tcPr>
          <w:p w14:paraId="64C9B546" w14:textId="090C1D1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33</w:t>
            </w:r>
          </w:p>
        </w:tc>
        <w:tc>
          <w:tcPr>
            <w:tcW w:w="1684" w:type="dxa"/>
            <w:shd w:val="clear" w:color="auto" w:fill="auto"/>
            <w:noWrap/>
            <w:vAlign w:val="center"/>
          </w:tcPr>
          <w:p w14:paraId="293C33C5" w14:textId="2450BA5F"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5</w:t>
            </w:r>
            <w:r w:rsidR="00917587">
              <w:t xml:space="preserve"> </w:t>
            </w:r>
            <w:r w:rsidRPr="00315AFB">
              <w:t>%</w:t>
            </w:r>
          </w:p>
        </w:tc>
        <w:tc>
          <w:tcPr>
            <w:tcW w:w="992" w:type="dxa"/>
            <w:shd w:val="clear" w:color="auto" w:fill="auto"/>
            <w:noWrap/>
            <w:vAlign w:val="center"/>
          </w:tcPr>
          <w:p w14:paraId="059AD148" w14:textId="160D69A8"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654</w:t>
            </w:r>
          </w:p>
        </w:tc>
        <w:tc>
          <w:tcPr>
            <w:tcW w:w="1417" w:type="dxa"/>
            <w:shd w:val="clear" w:color="auto" w:fill="auto"/>
            <w:noWrap/>
            <w:vAlign w:val="center"/>
          </w:tcPr>
          <w:p w14:paraId="1F5B59ED" w14:textId="2468C6D3"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19,8</w:t>
            </w:r>
          </w:p>
        </w:tc>
        <w:tc>
          <w:tcPr>
            <w:tcW w:w="993" w:type="dxa"/>
            <w:shd w:val="clear" w:color="auto" w:fill="auto"/>
            <w:noWrap/>
            <w:vAlign w:val="center"/>
          </w:tcPr>
          <w:p w14:paraId="0E95975E" w14:textId="3B164926"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444</w:t>
            </w:r>
          </w:p>
        </w:tc>
        <w:tc>
          <w:tcPr>
            <w:tcW w:w="927" w:type="dxa"/>
            <w:shd w:val="clear" w:color="auto" w:fill="auto"/>
            <w:noWrap/>
            <w:vAlign w:val="center"/>
          </w:tcPr>
          <w:p w14:paraId="1BDCA274" w14:textId="1B398A50"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68</w:t>
            </w:r>
            <w:r w:rsidR="00172C0A">
              <w:t xml:space="preserve"> </w:t>
            </w:r>
            <w:r w:rsidRPr="00315AFB">
              <w:t>%</w:t>
            </w:r>
          </w:p>
        </w:tc>
      </w:tr>
      <w:tr w:rsidR="00765CB9" w:rsidRPr="002F3D89" w14:paraId="270697B8" w14:textId="77777777" w:rsidTr="00917587">
        <w:trPr>
          <w:trHeight w:val="340"/>
        </w:trPr>
        <w:tc>
          <w:tcPr>
            <w:tcW w:w="960" w:type="dxa"/>
            <w:shd w:val="clear" w:color="auto" w:fill="auto"/>
            <w:noWrap/>
            <w:vAlign w:val="center"/>
            <w:hideMark/>
          </w:tcPr>
          <w:p w14:paraId="1101EFAC" w14:textId="6B272094"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I</w:t>
            </w:r>
          </w:p>
        </w:tc>
        <w:tc>
          <w:tcPr>
            <w:tcW w:w="1980" w:type="dxa"/>
            <w:shd w:val="clear" w:color="auto" w:fill="auto"/>
            <w:noWrap/>
            <w:vAlign w:val="center"/>
            <w:hideMark/>
          </w:tcPr>
          <w:p w14:paraId="12545CD9" w14:textId="10565F01"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Informatika</w:t>
            </w:r>
          </w:p>
        </w:tc>
        <w:tc>
          <w:tcPr>
            <w:tcW w:w="900" w:type="dxa"/>
            <w:shd w:val="clear" w:color="auto" w:fill="auto"/>
            <w:noWrap/>
            <w:vAlign w:val="center"/>
          </w:tcPr>
          <w:p w14:paraId="497AAF9F" w14:textId="0557B6D0"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3</w:t>
            </w:r>
            <w:r w:rsidR="00F76AD7">
              <w:t>7</w:t>
            </w:r>
          </w:p>
        </w:tc>
        <w:tc>
          <w:tcPr>
            <w:tcW w:w="1684" w:type="dxa"/>
            <w:shd w:val="clear" w:color="auto" w:fill="auto"/>
            <w:noWrap/>
            <w:vAlign w:val="center"/>
          </w:tcPr>
          <w:p w14:paraId="02B048D9" w14:textId="480AA175"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w:t>
            </w:r>
            <w:r w:rsidR="00917587">
              <w:t xml:space="preserve"> </w:t>
            </w:r>
            <w:r w:rsidRPr="00315AFB">
              <w:t>%</w:t>
            </w:r>
          </w:p>
        </w:tc>
        <w:tc>
          <w:tcPr>
            <w:tcW w:w="992" w:type="dxa"/>
            <w:shd w:val="clear" w:color="auto" w:fill="auto"/>
            <w:noWrap/>
            <w:vAlign w:val="center"/>
          </w:tcPr>
          <w:p w14:paraId="3FE75764" w14:textId="110CF5C6"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w:t>
            </w:r>
            <w:r w:rsidR="002005C3">
              <w:t>34</w:t>
            </w:r>
          </w:p>
        </w:tc>
        <w:tc>
          <w:tcPr>
            <w:tcW w:w="1417" w:type="dxa"/>
            <w:shd w:val="clear" w:color="auto" w:fill="auto"/>
            <w:noWrap/>
            <w:vAlign w:val="center"/>
          </w:tcPr>
          <w:p w14:paraId="291077C4" w14:textId="21C48B9E"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19,8</w:t>
            </w:r>
          </w:p>
        </w:tc>
        <w:tc>
          <w:tcPr>
            <w:tcW w:w="993" w:type="dxa"/>
            <w:shd w:val="clear" w:color="auto" w:fill="auto"/>
            <w:noWrap/>
            <w:vAlign w:val="center"/>
          </w:tcPr>
          <w:p w14:paraId="77CF5BEA" w14:textId="393D66D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w:t>
            </w:r>
            <w:r w:rsidR="002005C3">
              <w:t>81</w:t>
            </w:r>
          </w:p>
        </w:tc>
        <w:tc>
          <w:tcPr>
            <w:tcW w:w="927" w:type="dxa"/>
            <w:shd w:val="clear" w:color="auto" w:fill="auto"/>
            <w:noWrap/>
            <w:vAlign w:val="center"/>
          </w:tcPr>
          <w:p w14:paraId="6906054F" w14:textId="097BEFB0"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66</w:t>
            </w:r>
            <w:r w:rsidR="00172C0A">
              <w:t xml:space="preserve"> </w:t>
            </w:r>
            <w:r w:rsidRPr="00315AFB">
              <w:t>%</w:t>
            </w:r>
          </w:p>
        </w:tc>
      </w:tr>
      <w:tr w:rsidR="00765CB9" w:rsidRPr="002F3D89" w14:paraId="0CF97BE2" w14:textId="77777777" w:rsidTr="00917587">
        <w:trPr>
          <w:trHeight w:val="340"/>
        </w:trPr>
        <w:tc>
          <w:tcPr>
            <w:tcW w:w="960" w:type="dxa"/>
            <w:shd w:val="clear" w:color="auto" w:fill="auto"/>
            <w:noWrap/>
            <w:vAlign w:val="center"/>
          </w:tcPr>
          <w:p w14:paraId="378F52ED" w14:textId="0221A996"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J</w:t>
            </w:r>
          </w:p>
        </w:tc>
        <w:tc>
          <w:tcPr>
            <w:tcW w:w="1980" w:type="dxa"/>
            <w:shd w:val="clear" w:color="auto" w:fill="auto"/>
            <w:noWrap/>
            <w:vAlign w:val="center"/>
          </w:tcPr>
          <w:p w14:paraId="106D1702" w14:textId="4F1BCBC6"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Průmysl</w:t>
            </w:r>
          </w:p>
        </w:tc>
        <w:tc>
          <w:tcPr>
            <w:tcW w:w="900" w:type="dxa"/>
            <w:shd w:val="clear" w:color="auto" w:fill="auto"/>
            <w:noWrap/>
            <w:vAlign w:val="center"/>
          </w:tcPr>
          <w:p w14:paraId="44185116" w14:textId="5B1559E8"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412</w:t>
            </w:r>
          </w:p>
        </w:tc>
        <w:tc>
          <w:tcPr>
            <w:tcW w:w="1684" w:type="dxa"/>
            <w:shd w:val="clear" w:color="auto" w:fill="auto"/>
            <w:noWrap/>
            <w:vAlign w:val="center"/>
          </w:tcPr>
          <w:p w14:paraId="73EB9D05" w14:textId="5AE0E244"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61</w:t>
            </w:r>
            <w:r w:rsidR="00917587">
              <w:t xml:space="preserve"> </w:t>
            </w:r>
            <w:r w:rsidRPr="00315AFB">
              <w:t>%</w:t>
            </w:r>
          </w:p>
        </w:tc>
        <w:tc>
          <w:tcPr>
            <w:tcW w:w="992" w:type="dxa"/>
            <w:shd w:val="clear" w:color="auto" w:fill="auto"/>
            <w:noWrap/>
            <w:vAlign w:val="center"/>
          </w:tcPr>
          <w:p w14:paraId="30F3B577" w14:textId="4BBBD7C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10 226</w:t>
            </w:r>
          </w:p>
        </w:tc>
        <w:tc>
          <w:tcPr>
            <w:tcW w:w="1417" w:type="dxa"/>
            <w:shd w:val="clear" w:color="auto" w:fill="auto"/>
            <w:noWrap/>
            <w:vAlign w:val="center"/>
          </w:tcPr>
          <w:p w14:paraId="10855865" w14:textId="419AC8B1"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24,8</w:t>
            </w:r>
          </w:p>
        </w:tc>
        <w:tc>
          <w:tcPr>
            <w:tcW w:w="993" w:type="dxa"/>
            <w:shd w:val="clear" w:color="auto" w:fill="auto"/>
            <w:noWrap/>
            <w:vAlign w:val="center"/>
          </w:tcPr>
          <w:p w14:paraId="669CDD13" w14:textId="4E316B45"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6 591</w:t>
            </w:r>
          </w:p>
        </w:tc>
        <w:tc>
          <w:tcPr>
            <w:tcW w:w="927" w:type="dxa"/>
            <w:shd w:val="clear" w:color="auto" w:fill="auto"/>
            <w:noWrap/>
            <w:vAlign w:val="center"/>
          </w:tcPr>
          <w:p w14:paraId="2ADA1F8F" w14:textId="72A6F77E"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64</w:t>
            </w:r>
            <w:r w:rsidR="00172C0A">
              <w:t xml:space="preserve"> </w:t>
            </w:r>
            <w:r w:rsidRPr="00315AFB">
              <w:t>%</w:t>
            </w:r>
          </w:p>
        </w:tc>
      </w:tr>
      <w:tr w:rsidR="00765CB9" w:rsidRPr="002F3D89" w14:paraId="01C7F1C9" w14:textId="77777777" w:rsidTr="00917587">
        <w:trPr>
          <w:trHeight w:val="340"/>
        </w:trPr>
        <w:tc>
          <w:tcPr>
            <w:tcW w:w="960" w:type="dxa"/>
            <w:shd w:val="clear" w:color="auto" w:fill="auto"/>
            <w:noWrap/>
            <w:vAlign w:val="center"/>
            <w:hideMark/>
          </w:tcPr>
          <w:p w14:paraId="42F73686" w14:textId="5A70E320"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K</w:t>
            </w:r>
          </w:p>
        </w:tc>
        <w:tc>
          <w:tcPr>
            <w:tcW w:w="1980" w:type="dxa"/>
            <w:shd w:val="clear" w:color="auto" w:fill="auto"/>
            <w:noWrap/>
            <w:vAlign w:val="center"/>
            <w:hideMark/>
          </w:tcPr>
          <w:p w14:paraId="20F393DD" w14:textId="46B1CDBB" w:rsidR="00765CB9" w:rsidRPr="002F3D89" w:rsidRDefault="00765CB9" w:rsidP="00917587">
            <w:pPr>
              <w:spacing w:after="0" w:line="240" w:lineRule="auto"/>
              <w:rPr>
                <w:rFonts w:ascii="Calibri" w:eastAsia="Times New Roman" w:hAnsi="Calibri" w:cs="Times New Roman"/>
                <w:color w:val="000000"/>
                <w:lang w:eastAsia="cs-CZ"/>
              </w:rPr>
            </w:pPr>
            <w:r>
              <w:rPr>
                <w:rFonts w:ascii="Calibri" w:hAnsi="Calibri" w:cs="Calibri"/>
                <w:color w:val="000000"/>
              </w:rPr>
              <w:t>Vojenství</w:t>
            </w:r>
          </w:p>
        </w:tc>
        <w:tc>
          <w:tcPr>
            <w:tcW w:w="900" w:type="dxa"/>
            <w:shd w:val="clear" w:color="auto" w:fill="auto"/>
            <w:noWrap/>
            <w:vAlign w:val="center"/>
          </w:tcPr>
          <w:p w14:paraId="3B7C4F51" w14:textId="0E0E8FFC"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2</w:t>
            </w:r>
          </w:p>
        </w:tc>
        <w:tc>
          <w:tcPr>
            <w:tcW w:w="1684" w:type="dxa"/>
            <w:shd w:val="clear" w:color="auto" w:fill="auto"/>
            <w:noWrap/>
            <w:vAlign w:val="center"/>
          </w:tcPr>
          <w:p w14:paraId="2AFB9B96" w14:textId="00551F9A"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0</w:t>
            </w:r>
            <w:r w:rsidR="00917587">
              <w:t xml:space="preserve"> </w:t>
            </w:r>
            <w:r w:rsidRPr="00315AFB">
              <w:t>%</w:t>
            </w:r>
          </w:p>
        </w:tc>
        <w:tc>
          <w:tcPr>
            <w:tcW w:w="992" w:type="dxa"/>
            <w:shd w:val="clear" w:color="auto" w:fill="auto"/>
            <w:noWrap/>
            <w:vAlign w:val="center"/>
          </w:tcPr>
          <w:p w14:paraId="118C9612" w14:textId="48ECECD1"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18</w:t>
            </w:r>
          </w:p>
        </w:tc>
        <w:tc>
          <w:tcPr>
            <w:tcW w:w="1417" w:type="dxa"/>
            <w:shd w:val="clear" w:color="auto" w:fill="auto"/>
            <w:noWrap/>
            <w:vAlign w:val="center"/>
          </w:tcPr>
          <w:p w14:paraId="5965FC71" w14:textId="489CBE97"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8,9</w:t>
            </w:r>
          </w:p>
        </w:tc>
        <w:tc>
          <w:tcPr>
            <w:tcW w:w="993" w:type="dxa"/>
            <w:shd w:val="clear" w:color="auto" w:fill="auto"/>
            <w:noWrap/>
            <w:vAlign w:val="center"/>
          </w:tcPr>
          <w:p w14:paraId="389254F7" w14:textId="39E54E2C"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13</w:t>
            </w:r>
          </w:p>
        </w:tc>
        <w:tc>
          <w:tcPr>
            <w:tcW w:w="927" w:type="dxa"/>
            <w:shd w:val="clear" w:color="auto" w:fill="auto"/>
            <w:noWrap/>
            <w:vAlign w:val="center"/>
          </w:tcPr>
          <w:p w14:paraId="60D2605E" w14:textId="0A71A4B2" w:rsidR="00765CB9" w:rsidRPr="002F3D89" w:rsidRDefault="00765CB9" w:rsidP="00917587">
            <w:pPr>
              <w:spacing w:after="0" w:line="240" w:lineRule="auto"/>
              <w:jc w:val="right"/>
              <w:rPr>
                <w:rFonts w:ascii="Calibri" w:eastAsia="Times New Roman" w:hAnsi="Calibri" w:cs="Times New Roman"/>
                <w:color w:val="000000"/>
                <w:lang w:eastAsia="cs-CZ"/>
              </w:rPr>
            </w:pPr>
            <w:r w:rsidRPr="00315AFB">
              <w:t>74</w:t>
            </w:r>
            <w:r w:rsidR="00172C0A">
              <w:t xml:space="preserve"> </w:t>
            </w:r>
            <w:r w:rsidRPr="00315AFB">
              <w:t>%</w:t>
            </w:r>
          </w:p>
        </w:tc>
      </w:tr>
      <w:tr w:rsidR="00765CB9" w:rsidRPr="002F3D89" w14:paraId="53F27F65" w14:textId="77777777" w:rsidTr="00917587">
        <w:trPr>
          <w:trHeight w:val="340"/>
        </w:trPr>
        <w:tc>
          <w:tcPr>
            <w:tcW w:w="2940" w:type="dxa"/>
            <w:gridSpan w:val="2"/>
            <w:shd w:val="clear" w:color="auto" w:fill="auto"/>
            <w:noWrap/>
            <w:vAlign w:val="bottom"/>
            <w:hideMark/>
          </w:tcPr>
          <w:p w14:paraId="798E9AB0" w14:textId="77777777" w:rsidR="00765CB9" w:rsidRPr="002F3D89" w:rsidRDefault="00765CB9" w:rsidP="00901236">
            <w:pPr>
              <w:spacing w:after="0" w:line="240" w:lineRule="auto"/>
              <w:rPr>
                <w:rFonts w:ascii="Calibri" w:eastAsia="Times New Roman" w:hAnsi="Calibri" w:cs="Times New Roman"/>
                <w:b/>
                <w:bCs/>
                <w:color w:val="000000"/>
                <w:lang w:eastAsia="cs-CZ"/>
              </w:rPr>
            </w:pPr>
            <w:r w:rsidRPr="002F3D89">
              <w:rPr>
                <w:rFonts w:ascii="Calibri" w:eastAsia="Times New Roman" w:hAnsi="Calibri" w:cs="Times New Roman"/>
                <w:b/>
                <w:bCs/>
                <w:color w:val="000000"/>
                <w:lang w:eastAsia="cs-CZ"/>
              </w:rPr>
              <w:t>CELKEM</w:t>
            </w:r>
          </w:p>
        </w:tc>
        <w:tc>
          <w:tcPr>
            <w:tcW w:w="900" w:type="dxa"/>
            <w:shd w:val="clear" w:color="auto" w:fill="auto"/>
            <w:noWrap/>
            <w:vAlign w:val="center"/>
          </w:tcPr>
          <w:p w14:paraId="6ED155BC" w14:textId="039F7C56"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67</w:t>
            </w:r>
            <w:r w:rsidR="00F76AD7">
              <w:rPr>
                <w:b/>
                <w:bCs/>
              </w:rPr>
              <w:t>0</w:t>
            </w:r>
          </w:p>
        </w:tc>
        <w:tc>
          <w:tcPr>
            <w:tcW w:w="1684" w:type="dxa"/>
            <w:shd w:val="clear" w:color="auto" w:fill="auto"/>
            <w:noWrap/>
            <w:vAlign w:val="center"/>
          </w:tcPr>
          <w:p w14:paraId="6FD2FA9D" w14:textId="5CAA02B4"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100</w:t>
            </w:r>
            <w:r w:rsidR="00917587">
              <w:rPr>
                <w:b/>
                <w:bCs/>
              </w:rPr>
              <w:t xml:space="preserve"> </w:t>
            </w:r>
            <w:r w:rsidRPr="00765CB9">
              <w:rPr>
                <w:b/>
                <w:bCs/>
              </w:rPr>
              <w:t>%</w:t>
            </w:r>
          </w:p>
        </w:tc>
        <w:tc>
          <w:tcPr>
            <w:tcW w:w="992" w:type="dxa"/>
            <w:shd w:val="clear" w:color="auto" w:fill="auto"/>
            <w:noWrap/>
            <w:vAlign w:val="center"/>
          </w:tcPr>
          <w:p w14:paraId="0BE559D7" w14:textId="18719921"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16 0</w:t>
            </w:r>
            <w:r w:rsidR="002005C3">
              <w:rPr>
                <w:b/>
                <w:bCs/>
              </w:rPr>
              <w:t>28</w:t>
            </w:r>
          </w:p>
        </w:tc>
        <w:tc>
          <w:tcPr>
            <w:tcW w:w="1417" w:type="dxa"/>
            <w:shd w:val="clear" w:color="auto" w:fill="auto"/>
            <w:noWrap/>
            <w:vAlign w:val="center"/>
          </w:tcPr>
          <w:p w14:paraId="78B449DF" w14:textId="465E0117"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23,9</w:t>
            </w:r>
          </w:p>
        </w:tc>
        <w:tc>
          <w:tcPr>
            <w:tcW w:w="993" w:type="dxa"/>
            <w:shd w:val="clear" w:color="auto" w:fill="auto"/>
            <w:noWrap/>
            <w:vAlign w:val="center"/>
          </w:tcPr>
          <w:p w14:paraId="3782D5C4" w14:textId="590C4F11"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 xml:space="preserve">10 </w:t>
            </w:r>
            <w:r w:rsidR="002005C3" w:rsidRPr="00765CB9">
              <w:rPr>
                <w:b/>
                <w:bCs/>
              </w:rPr>
              <w:t>4</w:t>
            </w:r>
            <w:r w:rsidR="002005C3">
              <w:rPr>
                <w:b/>
                <w:bCs/>
              </w:rPr>
              <w:t>64</w:t>
            </w:r>
          </w:p>
        </w:tc>
        <w:tc>
          <w:tcPr>
            <w:tcW w:w="927" w:type="dxa"/>
            <w:shd w:val="clear" w:color="auto" w:fill="auto"/>
            <w:noWrap/>
            <w:vAlign w:val="center"/>
          </w:tcPr>
          <w:p w14:paraId="314F8D75" w14:textId="0136903B" w:rsidR="00765CB9" w:rsidRPr="00765CB9" w:rsidRDefault="00765CB9" w:rsidP="00917587">
            <w:pPr>
              <w:spacing w:after="0" w:line="240" w:lineRule="auto"/>
              <w:jc w:val="right"/>
              <w:rPr>
                <w:rFonts w:ascii="Calibri" w:eastAsia="Times New Roman" w:hAnsi="Calibri" w:cs="Times New Roman"/>
                <w:b/>
                <w:bCs/>
                <w:color w:val="000000"/>
                <w:lang w:eastAsia="cs-CZ"/>
              </w:rPr>
            </w:pPr>
            <w:r w:rsidRPr="00765CB9">
              <w:rPr>
                <w:b/>
                <w:bCs/>
              </w:rPr>
              <w:t>65</w:t>
            </w:r>
            <w:r w:rsidR="00917587">
              <w:rPr>
                <w:b/>
                <w:bCs/>
              </w:rPr>
              <w:t xml:space="preserve"> </w:t>
            </w:r>
            <w:r w:rsidRPr="00765CB9">
              <w:rPr>
                <w:b/>
                <w:bCs/>
              </w:rPr>
              <w:t>%</w:t>
            </w:r>
          </w:p>
        </w:tc>
      </w:tr>
    </w:tbl>
    <w:p w14:paraId="0A2DD152" w14:textId="2036C905" w:rsidR="00BB3D5E" w:rsidRDefault="00BB3D5E" w:rsidP="00B46A23">
      <w:pPr>
        <w:spacing w:after="120"/>
        <w:jc w:val="both"/>
      </w:pPr>
    </w:p>
    <w:p w14:paraId="4A8D1310" w14:textId="77777777" w:rsidR="002342AB" w:rsidRDefault="002342AB" w:rsidP="002342AB">
      <w:pPr>
        <w:spacing w:after="120"/>
        <w:jc w:val="both"/>
        <w:rPr>
          <w:szCs w:val="24"/>
        </w:rPr>
      </w:pPr>
      <w:r>
        <w:rPr>
          <w:szCs w:val="24"/>
        </w:rPr>
        <w:t>Průměrná výše nákladů projektu se pohybuje kolem 24 mil. Kč. O něco nižší je v případě projektů z oblasti Společenských věd, Zemědělství či Informatiky. Z hlediska intenzity podpory nejsou zaznamenány významnější rozdíly, průmyslové projekty mají intenzitu podpory mírně nižší než ostatní skupiny oborů.</w:t>
      </w:r>
    </w:p>
    <w:p w14:paraId="16016AF0" w14:textId="443D5B77" w:rsidR="00F64307" w:rsidRPr="00B46A23" w:rsidRDefault="00305352" w:rsidP="00B46A23">
      <w:pPr>
        <w:spacing w:after="120"/>
        <w:jc w:val="both"/>
      </w:pPr>
      <w:r>
        <w:t>V detailnějším členění oborů převládají projekty</w:t>
      </w:r>
      <w:r w:rsidR="00CE7C79">
        <w:t> </w:t>
      </w:r>
      <w:r w:rsidR="00172C0A">
        <w:t>z </w:t>
      </w:r>
      <w:r>
        <w:t>obor</w:t>
      </w:r>
      <w:r w:rsidR="00172C0A">
        <w:t>u JA – Elektronika</w:t>
      </w:r>
      <w:r w:rsidR="00172C0A" w:rsidRPr="00172C0A">
        <w:t xml:space="preserve"> a optoelektronika, elektrotechnika</w:t>
      </w:r>
      <w:r>
        <w:t>, který je uváděn v</w:t>
      </w:r>
      <w:r w:rsidR="00F866C2">
        <w:t> </w:t>
      </w:r>
      <w:r w:rsidR="003A4DCF">
        <w:t xml:space="preserve">69 </w:t>
      </w:r>
      <w:r w:rsidR="00F866C2">
        <w:t>p</w:t>
      </w:r>
      <w:r w:rsidR="00B46A23">
        <w:t xml:space="preserve">rojektech, </w:t>
      </w:r>
      <w:r w:rsidR="00915AF6">
        <w:t xml:space="preserve">a </w:t>
      </w:r>
      <w:r w:rsidR="00AB4A9C">
        <w:t>JQ</w:t>
      </w:r>
      <w:r w:rsidR="00AB4A9C" w:rsidRPr="00915AF6">
        <w:t xml:space="preserve"> </w:t>
      </w:r>
      <w:r w:rsidR="00AB4A9C">
        <w:t>– Strojní</w:t>
      </w:r>
      <w:r w:rsidR="00915AF6" w:rsidRPr="00915AF6">
        <w:t xml:space="preserve"> zařízení a nástroje</w:t>
      </w:r>
      <w:r w:rsidR="00F866C2">
        <w:t>,</w:t>
      </w:r>
      <w:r>
        <w:t xml:space="preserve"> který je uveden </w:t>
      </w:r>
      <w:r w:rsidR="00F64307">
        <w:t xml:space="preserve">celkem </w:t>
      </w:r>
      <w:r>
        <w:t>v</w:t>
      </w:r>
      <w:r w:rsidR="00F866C2">
        <w:t>e</w:t>
      </w:r>
      <w:r>
        <w:t xml:space="preserve"> </w:t>
      </w:r>
      <w:r w:rsidR="003A4DCF">
        <w:t xml:space="preserve">60 </w:t>
      </w:r>
      <w:r>
        <w:t>projektech</w:t>
      </w:r>
      <w:r w:rsidR="00915AF6">
        <w:t xml:space="preserve"> a</w:t>
      </w:r>
      <w:r w:rsidR="00172C0A">
        <w:t> kam také směřuje největší objem veřejné podpory (</w:t>
      </w:r>
      <w:r w:rsidR="00915AF6">
        <w:t>přes 1 mld. Kč</w:t>
      </w:r>
      <w:r w:rsidR="00172C0A">
        <w:t>).</w:t>
      </w:r>
    </w:p>
    <w:p w14:paraId="77C8CC08" w14:textId="51E6D5DF" w:rsidR="00F64307" w:rsidRPr="00F64307" w:rsidRDefault="00F64307" w:rsidP="00A7392F">
      <w:pPr>
        <w:pStyle w:val="Titulek"/>
      </w:pPr>
      <w:bookmarkStart w:id="35" w:name="_Toc150180768"/>
      <w:bookmarkStart w:id="36" w:name="_Toc185334580"/>
      <w:r w:rsidRPr="001267A5">
        <w:t xml:space="preserve">Tabulka </w:t>
      </w:r>
      <w:r w:rsidR="00353407">
        <w:fldChar w:fldCharType="begin"/>
      </w:r>
      <w:r w:rsidR="00353407">
        <w:instrText xml:space="preserve"> SEQ Tabulka \* ARABIC </w:instrText>
      </w:r>
      <w:r w:rsidR="00353407">
        <w:fldChar w:fldCharType="separate"/>
      </w:r>
      <w:r w:rsidR="00353407">
        <w:rPr>
          <w:noProof/>
        </w:rPr>
        <w:t>13</w:t>
      </w:r>
      <w:r w:rsidR="00353407">
        <w:rPr>
          <w:noProof/>
        </w:rPr>
        <w:fldChar w:fldCharType="end"/>
      </w:r>
      <w:r w:rsidRPr="001267A5">
        <w:t xml:space="preserve">: </w:t>
      </w:r>
      <w:r w:rsidR="00C249C9">
        <w:t xml:space="preserve">Podpořené projekty </w:t>
      </w:r>
      <w:r w:rsidR="00EE156B">
        <w:t>podle oborů</w:t>
      </w:r>
      <w:r w:rsidRPr="001267A5">
        <w:t xml:space="preserve"> (zastoupen</w:t>
      </w:r>
      <w:r w:rsidR="00C4183E">
        <w:t>ých</w:t>
      </w:r>
      <w:r w:rsidRPr="001267A5">
        <w:t xml:space="preserve"> alespoň </w:t>
      </w:r>
      <w:r w:rsidR="001267A5" w:rsidRPr="001267A5">
        <w:t>10</w:t>
      </w:r>
      <w:r w:rsidRPr="001267A5">
        <w:t xml:space="preserve"> projekt</w:t>
      </w:r>
      <w:r w:rsidR="00C4183E">
        <w:t>y</w:t>
      </w:r>
      <w:r w:rsidRPr="001267A5">
        <w:t>)</w:t>
      </w:r>
      <w:bookmarkEnd w:id="35"/>
      <w:bookmarkEnd w:id="36"/>
      <w:r w:rsidR="00B0419F" w:rsidRPr="00B0419F">
        <w:rPr>
          <w:szCs w:val="22"/>
        </w:rPr>
        <w:t xml:space="preserve"> </w:t>
      </w:r>
    </w:p>
    <w:tbl>
      <w:tblPr>
        <w:tblW w:w="9865" w:type="dxa"/>
        <w:tblCellMar>
          <w:left w:w="70" w:type="dxa"/>
          <w:right w:w="70" w:type="dxa"/>
        </w:tblCellMar>
        <w:tblLook w:val="04A0" w:firstRow="1" w:lastRow="0" w:firstColumn="1" w:lastColumn="0" w:noHBand="0" w:noVBand="1"/>
      </w:tblPr>
      <w:tblGrid>
        <w:gridCol w:w="4815"/>
        <w:gridCol w:w="709"/>
        <w:gridCol w:w="1134"/>
        <w:gridCol w:w="1134"/>
        <w:gridCol w:w="1081"/>
        <w:gridCol w:w="992"/>
      </w:tblGrid>
      <w:tr w:rsidR="00F64307" w:rsidRPr="00F64307" w14:paraId="56BCD206" w14:textId="77777777" w:rsidTr="00C4183E">
        <w:trPr>
          <w:trHeight w:val="1104"/>
        </w:trPr>
        <w:tc>
          <w:tcPr>
            <w:tcW w:w="4815" w:type="dxa"/>
            <w:tcBorders>
              <w:top w:val="single" w:sz="4" w:space="0" w:color="auto"/>
              <w:left w:val="single" w:sz="4" w:space="0" w:color="auto"/>
              <w:bottom w:val="single" w:sz="4" w:space="0" w:color="auto"/>
              <w:right w:val="single" w:sz="4" w:space="0" w:color="auto"/>
            </w:tcBorders>
            <w:shd w:val="clear" w:color="auto" w:fill="B9E0F7" w:themeFill="accent5"/>
            <w:noWrap/>
            <w:vAlign w:val="center"/>
            <w:hideMark/>
          </w:tcPr>
          <w:p w14:paraId="44A5EF19" w14:textId="77777777" w:rsidR="00F64307" w:rsidRPr="00F64307"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Hlavní obor projektu</w:t>
            </w:r>
          </w:p>
        </w:tc>
        <w:tc>
          <w:tcPr>
            <w:tcW w:w="709" w:type="dxa"/>
            <w:tcBorders>
              <w:top w:val="single" w:sz="4" w:space="0" w:color="auto"/>
              <w:left w:val="nil"/>
              <w:bottom w:val="single" w:sz="4" w:space="0" w:color="auto"/>
              <w:right w:val="single" w:sz="4" w:space="0" w:color="auto"/>
            </w:tcBorders>
            <w:shd w:val="clear" w:color="auto" w:fill="B9E0F7" w:themeFill="accent5"/>
            <w:noWrap/>
            <w:vAlign w:val="center"/>
            <w:hideMark/>
          </w:tcPr>
          <w:p w14:paraId="2CD25C56" w14:textId="77777777" w:rsidR="00F64307" w:rsidRPr="00F64307"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Počet</w:t>
            </w:r>
          </w:p>
        </w:tc>
        <w:tc>
          <w:tcPr>
            <w:tcW w:w="1134" w:type="dxa"/>
            <w:tcBorders>
              <w:top w:val="single" w:sz="4" w:space="0" w:color="auto"/>
              <w:left w:val="nil"/>
              <w:bottom w:val="single" w:sz="4" w:space="0" w:color="auto"/>
              <w:right w:val="single" w:sz="4" w:space="0" w:color="auto"/>
            </w:tcBorders>
            <w:shd w:val="clear" w:color="auto" w:fill="B9E0F7" w:themeFill="accent5"/>
            <w:vAlign w:val="center"/>
            <w:hideMark/>
          </w:tcPr>
          <w:p w14:paraId="1D2D294F" w14:textId="77777777" w:rsidR="00F64307" w:rsidRPr="00F64307"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Celkové náklady (mil. Kč)</w:t>
            </w:r>
          </w:p>
        </w:tc>
        <w:tc>
          <w:tcPr>
            <w:tcW w:w="1134" w:type="dxa"/>
            <w:tcBorders>
              <w:top w:val="single" w:sz="4" w:space="0" w:color="auto"/>
              <w:left w:val="nil"/>
              <w:bottom w:val="single" w:sz="4" w:space="0" w:color="auto"/>
              <w:right w:val="single" w:sz="4" w:space="0" w:color="auto"/>
            </w:tcBorders>
            <w:shd w:val="clear" w:color="auto" w:fill="B9E0F7" w:themeFill="accent5"/>
            <w:vAlign w:val="center"/>
            <w:hideMark/>
          </w:tcPr>
          <w:p w14:paraId="098D73D4" w14:textId="77777777" w:rsidR="001267A5"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 xml:space="preserve">Průměrné náklady na projekt </w:t>
            </w:r>
          </w:p>
          <w:p w14:paraId="68967BE9" w14:textId="5E980890" w:rsidR="00F64307" w:rsidRPr="00F64307"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(mil. Kč)</w:t>
            </w:r>
          </w:p>
        </w:tc>
        <w:tc>
          <w:tcPr>
            <w:tcW w:w="1081" w:type="dxa"/>
            <w:tcBorders>
              <w:top w:val="single" w:sz="4" w:space="0" w:color="auto"/>
              <w:left w:val="nil"/>
              <w:bottom w:val="single" w:sz="4" w:space="0" w:color="auto"/>
              <w:right w:val="single" w:sz="4" w:space="0" w:color="auto"/>
            </w:tcBorders>
            <w:shd w:val="clear" w:color="auto" w:fill="B9E0F7" w:themeFill="accent5"/>
            <w:vAlign w:val="center"/>
            <w:hideMark/>
          </w:tcPr>
          <w:p w14:paraId="701C8D08" w14:textId="77777777" w:rsidR="00F64307" w:rsidRPr="00F64307" w:rsidRDefault="00F64307" w:rsidP="00F64307">
            <w:pPr>
              <w:spacing w:after="0" w:line="240" w:lineRule="auto"/>
              <w:jc w:val="center"/>
              <w:rPr>
                <w:rFonts w:ascii="Calibri" w:eastAsia="Times New Roman" w:hAnsi="Calibri" w:cs="Times New Roman"/>
                <w:color w:val="000000"/>
                <w:lang w:eastAsia="cs-CZ"/>
              </w:rPr>
            </w:pPr>
            <w:r w:rsidRPr="00F64307">
              <w:rPr>
                <w:rFonts w:ascii="Calibri" w:eastAsia="Times New Roman" w:hAnsi="Calibri" w:cs="Times New Roman"/>
                <w:color w:val="000000"/>
                <w:lang w:eastAsia="cs-CZ"/>
              </w:rPr>
              <w:t>Veřejná podpora (mil. Kč)</w:t>
            </w:r>
          </w:p>
        </w:tc>
        <w:tc>
          <w:tcPr>
            <w:tcW w:w="992" w:type="dxa"/>
            <w:tcBorders>
              <w:top w:val="single" w:sz="4" w:space="0" w:color="auto"/>
              <w:left w:val="nil"/>
              <w:bottom w:val="single" w:sz="4" w:space="0" w:color="auto"/>
              <w:right w:val="single" w:sz="4" w:space="0" w:color="auto"/>
            </w:tcBorders>
            <w:shd w:val="clear" w:color="auto" w:fill="B9E0F7" w:themeFill="accent5"/>
            <w:vAlign w:val="center"/>
            <w:hideMark/>
          </w:tcPr>
          <w:p w14:paraId="125B619F" w14:textId="3CDB0138" w:rsidR="00F64307" w:rsidRPr="00F64307" w:rsidRDefault="001267A5" w:rsidP="00F64307">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Intenzita</w:t>
            </w:r>
            <w:r w:rsidR="00F64307" w:rsidRPr="00F64307">
              <w:rPr>
                <w:rFonts w:ascii="Calibri" w:eastAsia="Times New Roman" w:hAnsi="Calibri" w:cs="Times New Roman"/>
                <w:color w:val="000000"/>
                <w:lang w:eastAsia="cs-CZ"/>
              </w:rPr>
              <w:t xml:space="preserve"> podpory</w:t>
            </w:r>
          </w:p>
        </w:tc>
      </w:tr>
      <w:tr w:rsidR="00FA1895" w:rsidRPr="00CD3F5E" w14:paraId="7F5FA945"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A6B00" w14:textId="78DDFAA0"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JA – Elektronika</w:t>
            </w:r>
            <w:r w:rsidR="00FA1895" w:rsidRPr="002929FC">
              <w:t xml:space="preserve"> a optoelektronika, elektrotechnika</w:t>
            </w:r>
          </w:p>
        </w:tc>
        <w:tc>
          <w:tcPr>
            <w:tcW w:w="709" w:type="dxa"/>
            <w:tcBorders>
              <w:top w:val="nil"/>
              <w:left w:val="nil"/>
              <w:bottom w:val="single" w:sz="4" w:space="0" w:color="auto"/>
              <w:right w:val="single" w:sz="4" w:space="0" w:color="auto"/>
            </w:tcBorders>
            <w:shd w:val="clear" w:color="auto" w:fill="auto"/>
            <w:noWrap/>
            <w:vAlign w:val="center"/>
            <w:hideMark/>
          </w:tcPr>
          <w:p w14:paraId="00C7B609" w14:textId="325348F7"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69</w:t>
            </w:r>
          </w:p>
        </w:tc>
        <w:tc>
          <w:tcPr>
            <w:tcW w:w="1134" w:type="dxa"/>
            <w:tcBorders>
              <w:top w:val="nil"/>
              <w:left w:val="nil"/>
              <w:bottom w:val="single" w:sz="4" w:space="0" w:color="auto"/>
              <w:right w:val="single" w:sz="4" w:space="0" w:color="auto"/>
            </w:tcBorders>
            <w:shd w:val="clear" w:color="auto" w:fill="auto"/>
            <w:noWrap/>
            <w:vAlign w:val="center"/>
          </w:tcPr>
          <w:p w14:paraId="089F16A1" w14:textId="652EEF56"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1 592</w:t>
            </w:r>
          </w:p>
        </w:tc>
        <w:tc>
          <w:tcPr>
            <w:tcW w:w="1134" w:type="dxa"/>
            <w:tcBorders>
              <w:top w:val="nil"/>
              <w:left w:val="nil"/>
              <w:bottom w:val="single" w:sz="4" w:space="0" w:color="auto"/>
              <w:right w:val="single" w:sz="4" w:space="0" w:color="auto"/>
            </w:tcBorders>
            <w:shd w:val="clear" w:color="auto" w:fill="auto"/>
            <w:noWrap/>
            <w:vAlign w:val="center"/>
          </w:tcPr>
          <w:p w14:paraId="5A33E5C8" w14:textId="332274F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23,1</w:t>
            </w:r>
          </w:p>
        </w:tc>
        <w:tc>
          <w:tcPr>
            <w:tcW w:w="1081" w:type="dxa"/>
            <w:tcBorders>
              <w:top w:val="nil"/>
              <w:left w:val="nil"/>
              <w:bottom w:val="single" w:sz="4" w:space="0" w:color="auto"/>
              <w:right w:val="single" w:sz="4" w:space="0" w:color="auto"/>
            </w:tcBorders>
            <w:shd w:val="clear" w:color="auto" w:fill="auto"/>
            <w:noWrap/>
            <w:vAlign w:val="center"/>
          </w:tcPr>
          <w:p w14:paraId="14031BB3" w14:textId="2E2552E3"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991</w:t>
            </w:r>
          </w:p>
        </w:tc>
        <w:tc>
          <w:tcPr>
            <w:tcW w:w="992" w:type="dxa"/>
            <w:tcBorders>
              <w:top w:val="nil"/>
              <w:left w:val="nil"/>
              <w:bottom w:val="single" w:sz="4" w:space="0" w:color="auto"/>
              <w:right w:val="single" w:sz="4" w:space="0" w:color="auto"/>
            </w:tcBorders>
            <w:shd w:val="clear" w:color="auto" w:fill="auto"/>
            <w:noWrap/>
            <w:vAlign w:val="center"/>
          </w:tcPr>
          <w:p w14:paraId="564A6709" w14:textId="25322E17"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62</w:t>
            </w:r>
            <w:r w:rsidR="00915AF6">
              <w:t xml:space="preserve"> </w:t>
            </w:r>
            <w:r w:rsidRPr="008C0D1D">
              <w:t>%</w:t>
            </w:r>
          </w:p>
        </w:tc>
      </w:tr>
      <w:tr w:rsidR="00FA1895" w:rsidRPr="00CD3F5E" w14:paraId="5118B227"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B694" w14:textId="40773BBF"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JQ – Strojní</w:t>
            </w:r>
            <w:r w:rsidR="00FA1895" w:rsidRPr="002929FC">
              <w:t xml:space="preserve"> zařízení a nástroje</w:t>
            </w:r>
          </w:p>
        </w:tc>
        <w:tc>
          <w:tcPr>
            <w:tcW w:w="709" w:type="dxa"/>
            <w:tcBorders>
              <w:top w:val="nil"/>
              <w:left w:val="nil"/>
              <w:bottom w:val="single" w:sz="4" w:space="0" w:color="auto"/>
              <w:right w:val="single" w:sz="4" w:space="0" w:color="auto"/>
            </w:tcBorders>
            <w:shd w:val="clear" w:color="auto" w:fill="auto"/>
            <w:noWrap/>
            <w:vAlign w:val="center"/>
            <w:hideMark/>
          </w:tcPr>
          <w:p w14:paraId="2181FEA5" w14:textId="53A5B794"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60</w:t>
            </w:r>
          </w:p>
        </w:tc>
        <w:tc>
          <w:tcPr>
            <w:tcW w:w="1134" w:type="dxa"/>
            <w:tcBorders>
              <w:top w:val="nil"/>
              <w:left w:val="nil"/>
              <w:bottom w:val="single" w:sz="4" w:space="0" w:color="auto"/>
              <w:right w:val="single" w:sz="4" w:space="0" w:color="auto"/>
            </w:tcBorders>
            <w:shd w:val="clear" w:color="auto" w:fill="auto"/>
            <w:noWrap/>
            <w:vAlign w:val="center"/>
          </w:tcPr>
          <w:p w14:paraId="1312C03C" w14:textId="4DE43D37"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1 626</w:t>
            </w:r>
          </w:p>
        </w:tc>
        <w:tc>
          <w:tcPr>
            <w:tcW w:w="1134" w:type="dxa"/>
            <w:tcBorders>
              <w:top w:val="nil"/>
              <w:left w:val="nil"/>
              <w:bottom w:val="single" w:sz="4" w:space="0" w:color="auto"/>
              <w:right w:val="single" w:sz="4" w:space="0" w:color="auto"/>
            </w:tcBorders>
            <w:shd w:val="clear" w:color="auto" w:fill="auto"/>
            <w:noWrap/>
            <w:vAlign w:val="center"/>
          </w:tcPr>
          <w:p w14:paraId="51656B6D" w14:textId="40B5F2D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27,1</w:t>
            </w:r>
          </w:p>
        </w:tc>
        <w:tc>
          <w:tcPr>
            <w:tcW w:w="1081" w:type="dxa"/>
            <w:tcBorders>
              <w:top w:val="nil"/>
              <w:left w:val="nil"/>
              <w:bottom w:val="single" w:sz="4" w:space="0" w:color="auto"/>
              <w:right w:val="single" w:sz="4" w:space="0" w:color="auto"/>
            </w:tcBorders>
            <w:shd w:val="clear" w:color="auto" w:fill="auto"/>
            <w:noWrap/>
            <w:vAlign w:val="center"/>
          </w:tcPr>
          <w:p w14:paraId="3AD72631" w14:textId="0418B23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1 051</w:t>
            </w:r>
          </w:p>
        </w:tc>
        <w:tc>
          <w:tcPr>
            <w:tcW w:w="992" w:type="dxa"/>
            <w:tcBorders>
              <w:top w:val="nil"/>
              <w:left w:val="nil"/>
              <w:bottom w:val="single" w:sz="4" w:space="0" w:color="auto"/>
              <w:right w:val="single" w:sz="4" w:space="0" w:color="auto"/>
            </w:tcBorders>
            <w:shd w:val="clear" w:color="auto" w:fill="auto"/>
            <w:noWrap/>
            <w:vAlign w:val="center"/>
          </w:tcPr>
          <w:p w14:paraId="6AE0E75C" w14:textId="111EFFB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65</w:t>
            </w:r>
            <w:r w:rsidR="00915AF6">
              <w:t xml:space="preserve"> </w:t>
            </w:r>
            <w:r w:rsidRPr="008C0D1D">
              <w:t>%</w:t>
            </w:r>
          </w:p>
        </w:tc>
      </w:tr>
      <w:tr w:rsidR="00FA1895" w:rsidRPr="00CD3F5E" w14:paraId="5D24E494"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75437" w14:textId="491DD831"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IN – Informatika</w:t>
            </w:r>
          </w:p>
        </w:tc>
        <w:tc>
          <w:tcPr>
            <w:tcW w:w="709" w:type="dxa"/>
            <w:tcBorders>
              <w:top w:val="nil"/>
              <w:left w:val="nil"/>
              <w:bottom w:val="single" w:sz="4" w:space="0" w:color="auto"/>
              <w:right w:val="single" w:sz="4" w:space="0" w:color="auto"/>
            </w:tcBorders>
            <w:shd w:val="clear" w:color="auto" w:fill="auto"/>
            <w:noWrap/>
            <w:vAlign w:val="center"/>
            <w:hideMark/>
          </w:tcPr>
          <w:p w14:paraId="6BE697D9" w14:textId="3A3DE99B"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38</w:t>
            </w:r>
          </w:p>
        </w:tc>
        <w:tc>
          <w:tcPr>
            <w:tcW w:w="1134" w:type="dxa"/>
            <w:tcBorders>
              <w:top w:val="nil"/>
              <w:left w:val="nil"/>
              <w:bottom w:val="single" w:sz="4" w:space="0" w:color="auto"/>
              <w:right w:val="single" w:sz="4" w:space="0" w:color="auto"/>
            </w:tcBorders>
            <w:shd w:val="clear" w:color="auto" w:fill="auto"/>
            <w:noWrap/>
            <w:vAlign w:val="center"/>
          </w:tcPr>
          <w:p w14:paraId="085C3FD2" w14:textId="74965CB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753</w:t>
            </w:r>
          </w:p>
        </w:tc>
        <w:tc>
          <w:tcPr>
            <w:tcW w:w="1134" w:type="dxa"/>
            <w:tcBorders>
              <w:top w:val="nil"/>
              <w:left w:val="nil"/>
              <w:bottom w:val="single" w:sz="4" w:space="0" w:color="auto"/>
              <w:right w:val="single" w:sz="4" w:space="0" w:color="auto"/>
            </w:tcBorders>
            <w:shd w:val="clear" w:color="auto" w:fill="auto"/>
            <w:noWrap/>
            <w:vAlign w:val="center"/>
          </w:tcPr>
          <w:p w14:paraId="560902A0" w14:textId="4DDDB8D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19,8</w:t>
            </w:r>
          </w:p>
        </w:tc>
        <w:tc>
          <w:tcPr>
            <w:tcW w:w="1081" w:type="dxa"/>
            <w:tcBorders>
              <w:top w:val="nil"/>
              <w:left w:val="nil"/>
              <w:bottom w:val="single" w:sz="4" w:space="0" w:color="auto"/>
              <w:right w:val="single" w:sz="4" w:space="0" w:color="auto"/>
            </w:tcBorders>
            <w:shd w:val="clear" w:color="auto" w:fill="auto"/>
            <w:noWrap/>
            <w:vAlign w:val="center"/>
          </w:tcPr>
          <w:p w14:paraId="32B69BD4" w14:textId="62B71B8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495</w:t>
            </w:r>
          </w:p>
        </w:tc>
        <w:tc>
          <w:tcPr>
            <w:tcW w:w="992" w:type="dxa"/>
            <w:tcBorders>
              <w:top w:val="nil"/>
              <w:left w:val="nil"/>
              <w:bottom w:val="single" w:sz="4" w:space="0" w:color="auto"/>
              <w:right w:val="single" w:sz="4" w:space="0" w:color="auto"/>
            </w:tcBorders>
            <w:shd w:val="clear" w:color="auto" w:fill="auto"/>
            <w:noWrap/>
            <w:vAlign w:val="center"/>
          </w:tcPr>
          <w:p w14:paraId="2284D67B" w14:textId="6D452E1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66</w:t>
            </w:r>
            <w:r w:rsidR="00915AF6">
              <w:t xml:space="preserve"> </w:t>
            </w:r>
            <w:r w:rsidRPr="008C0D1D">
              <w:t>%</w:t>
            </w:r>
          </w:p>
        </w:tc>
      </w:tr>
      <w:tr w:rsidR="00FA1895" w:rsidRPr="00CD3F5E" w14:paraId="5142F21A"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1EEEF" w14:textId="0A937FA6"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JB – Senzory</w:t>
            </w:r>
            <w:r w:rsidR="00FA1895" w:rsidRPr="002929FC">
              <w:t>, čidla, měření a regulace</w:t>
            </w:r>
          </w:p>
        </w:tc>
        <w:tc>
          <w:tcPr>
            <w:tcW w:w="709" w:type="dxa"/>
            <w:tcBorders>
              <w:top w:val="nil"/>
              <w:left w:val="nil"/>
              <w:bottom w:val="single" w:sz="4" w:space="0" w:color="auto"/>
              <w:right w:val="single" w:sz="4" w:space="0" w:color="auto"/>
            </w:tcBorders>
            <w:shd w:val="clear" w:color="auto" w:fill="auto"/>
            <w:noWrap/>
            <w:vAlign w:val="center"/>
            <w:hideMark/>
          </w:tcPr>
          <w:p w14:paraId="2718399E" w14:textId="74806861"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37</w:t>
            </w:r>
          </w:p>
        </w:tc>
        <w:tc>
          <w:tcPr>
            <w:tcW w:w="1134" w:type="dxa"/>
            <w:tcBorders>
              <w:top w:val="nil"/>
              <w:left w:val="nil"/>
              <w:bottom w:val="single" w:sz="4" w:space="0" w:color="auto"/>
              <w:right w:val="single" w:sz="4" w:space="0" w:color="auto"/>
            </w:tcBorders>
            <w:shd w:val="clear" w:color="auto" w:fill="auto"/>
            <w:noWrap/>
            <w:vAlign w:val="center"/>
          </w:tcPr>
          <w:p w14:paraId="6767205D" w14:textId="4D5D043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870</w:t>
            </w:r>
          </w:p>
        </w:tc>
        <w:tc>
          <w:tcPr>
            <w:tcW w:w="1134" w:type="dxa"/>
            <w:tcBorders>
              <w:top w:val="nil"/>
              <w:left w:val="nil"/>
              <w:bottom w:val="single" w:sz="4" w:space="0" w:color="auto"/>
              <w:right w:val="single" w:sz="4" w:space="0" w:color="auto"/>
            </w:tcBorders>
            <w:shd w:val="clear" w:color="auto" w:fill="auto"/>
            <w:noWrap/>
            <w:vAlign w:val="center"/>
          </w:tcPr>
          <w:p w14:paraId="7A5171F0" w14:textId="13EC758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23,5</w:t>
            </w:r>
          </w:p>
        </w:tc>
        <w:tc>
          <w:tcPr>
            <w:tcW w:w="1081" w:type="dxa"/>
            <w:tcBorders>
              <w:top w:val="nil"/>
              <w:left w:val="nil"/>
              <w:bottom w:val="single" w:sz="4" w:space="0" w:color="auto"/>
              <w:right w:val="single" w:sz="4" w:space="0" w:color="auto"/>
            </w:tcBorders>
            <w:shd w:val="clear" w:color="auto" w:fill="auto"/>
            <w:noWrap/>
            <w:vAlign w:val="center"/>
          </w:tcPr>
          <w:p w14:paraId="218D0272" w14:textId="0769B8A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583</w:t>
            </w:r>
          </w:p>
        </w:tc>
        <w:tc>
          <w:tcPr>
            <w:tcW w:w="992" w:type="dxa"/>
            <w:tcBorders>
              <w:top w:val="nil"/>
              <w:left w:val="nil"/>
              <w:bottom w:val="single" w:sz="4" w:space="0" w:color="auto"/>
              <w:right w:val="single" w:sz="4" w:space="0" w:color="auto"/>
            </w:tcBorders>
            <w:shd w:val="clear" w:color="auto" w:fill="auto"/>
            <w:noWrap/>
            <w:vAlign w:val="center"/>
          </w:tcPr>
          <w:p w14:paraId="39A38570" w14:textId="120689B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67</w:t>
            </w:r>
            <w:r w:rsidR="00915AF6">
              <w:t xml:space="preserve"> </w:t>
            </w:r>
            <w:r w:rsidRPr="008C0D1D">
              <w:t>%</w:t>
            </w:r>
          </w:p>
        </w:tc>
      </w:tr>
      <w:tr w:rsidR="00FA1895" w:rsidRPr="00CD3F5E" w14:paraId="7DEAFAF0"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EB62D" w14:textId="003D5C6F"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JN – Stavebnictví</w:t>
            </w:r>
          </w:p>
        </w:tc>
        <w:tc>
          <w:tcPr>
            <w:tcW w:w="709" w:type="dxa"/>
            <w:tcBorders>
              <w:top w:val="nil"/>
              <w:left w:val="nil"/>
              <w:bottom w:val="single" w:sz="4" w:space="0" w:color="auto"/>
              <w:right w:val="single" w:sz="4" w:space="0" w:color="auto"/>
            </w:tcBorders>
            <w:shd w:val="clear" w:color="auto" w:fill="auto"/>
            <w:noWrap/>
            <w:vAlign w:val="center"/>
            <w:hideMark/>
          </w:tcPr>
          <w:p w14:paraId="36AF90F3" w14:textId="1E3F9393"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30</w:t>
            </w:r>
          </w:p>
        </w:tc>
        <w:tc>
          <w:tcPr>
            <w:tcW w:w="1134" w:type="dxa"/>
            <w:tcBorders>
              <w:top w:val="nil"/>
              <w:left w:val="nil"/>
              <w:bottom w:val="single" w:sz="4" w:space="0" w:color="auto"/>
              <w:right w:val="single" w:sz="4" w:space="0" w:color="auto"/>
            </w:tcBorders>
            <w:shd w:val="clear" w:color="auto" w:fill="auto"/>
            <w:noWrap/>
            <w:vAlign w:val="center"/>
          </w:tcPr>
          <w:p w14:paraId="08588163" w14:textId="1EBD620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586</w:t>
            </w:r>
          </w:p>
        </w:tc>
        <w:tc>
          <w:tcPr>
            <w:tcW w:w="1134" w:type="dxa"/>
            <w:tcBorders>
              <w:top w:val="nil"/>
              <w:left w:val="nil"/>
              <w:bottom w:val="single" w:sz="4" w:space="0" w:color="auto"/>
              <w:right w:val="single" w:sz="4" w:space="0" w:color="auto"/>
            </w:tcBorders>
            <w:shd w:val="clear" w:color="auto" w:fill="auto"/>
            <w:noWrap/>
            <w:vAlign w:val="center"/>
          </w:tcPr>
          <w:p w14:paraId="466874E7" w14:textId="3551E2E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19,5</w:t>
            </w:r>
          </w:p>
        </w:tc>
        <w:tc>
          <w:tcPr>
            <w:tcW w:w="1081" w:type="dxa"/>
            <w:tcBorders>
              <w:top w:val="nil"/>
              <w:left w:val="nil"/>
              <w:bottom w:val="single" w:sz="4" w:space="0" w:color="auto"/>
              <w:right w:val="single" w:sz="4" w:space="0" w:color="auto"/>
            </w:tcBorders>
            <w:shd w:val="clear" w:color="auto" w:fill="auto"/>
            <w:noWrap/>
            <w:vAlign w:val="center"/>
          </w:tcPr>
          <w:p w14:paraId="305995C4" w14:textId="065C172F"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398</w:t>
            </w:r>
          </w:p>
        </w:tc>
        <w:tc>
          <w:tcPr>
            <w:tcW w:w="992" w:type="dxa"/>
            <w:tcBorders>
              <w:top w:val="nil"/>
              <w:left w:val="nil"/>
              <w:bottom w:val="single" w:sz="4" w:space="0" w:color="auto"/>
              <w:right w:val="single" w:sz="4" w:space="0" w:color="auto"/>
            </w:tcBorders>
            <w:shd w:val="clear" w:color="auto" w:fill="auto"/>
            <w:noWrap/>
            <w:vAlign w:val="center"/>
          </w:tcPr>
          <w:p w14:paraId="77D33D7E" w14:textId="1FDEFFE3"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68</w:t>
            </w:r>
            <w:r w:rsidR="00915AF6">
              <w:t xml:space="preserve"> </w:t>
            </w:r>
            <w:r w:rsidRPr="008C0D1D">
              <w:t>%</w:t>
            </w:r>
          </w:p>
        </w:tc>
      </w:tr>
      <w:tr w:rsidR="00FA1895" w:rsidRPr="00CD3F5E" w14:paraId="41FBAF6F"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9C63E" w14:textId="7125E029"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JD – Využití</w:t>
            </w:r>
            <w:r w:rsidR="00FA1895" w:rsidRPr="002929FC">
              <w:t xml:space="preserve"> počítačů, robotika a její aplikace</w:t>
            </w:r>
          </w:p>
        </w:tc>
        <w:tc>
          <w:tcPr>
            <w:tcW w:w="709" w:type="dxa"/>
            <w:tcBorders>
              <w:top w:val="nil"/>
              <w:left w:val="nil"/>
              <w:bottom w:val="single" w:sz="4" w:space="0" w:color="auto"/>
              <w:right w:val="single" w:sz="4" w:space="0" w:color="auto"/>
            </w:tcBorders>
            <w:shd w:val="clear" w:color="auto" w:fill="auto"/>
            <w:noWrap/>
            <w:vAlign w:val="center"/>
            <w:hideMark/>
          </w:tcPr>
          <w:p w14:paraId="1E271882" w14:textId="1EA0BA20"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29</w:t>
            </w:r>
          </w:p>
        </w:tc>
        <w:tc>
          <w:tcPr>
            <w:tcW w:w="1134" w:type="dxa"/>
            <w:tcBorders>
              <w:top w:val="nil"/>
              <w:left w:val="nil"/>
              <w:bottom w:val="single" w:sz="4" w:space="0" w:color="auto"/>
              <w:right w:val="single" w:sz="4" w:space="0" w:color="auto"/>
            </w:tcBorders>
            <w:shd w:val="clear" w:color="auto" w:fill="auto"/>
            <w:noWrap/>
            <w:vAlign w:val="center"/>
          </w:tcPr>
          <w:p w14:paraId="5CE400DA" w14:textId="6127311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710</w:t>
            </w:r>
          </w:p>
        </w:tc>
        <w:tc>
          <w:tcPr>
            <w:tcW w:w="1134" w:type="dxa"/>
            <w:tcBorders>
              <w:top w:val="nil"/>
              <w:left w:val="nil"/>
              <w:bottom w:val="single" w:sz="4" w:space="0" w:color="auto"/>
              <w:right w:val="single" w:sz="4" w:space="0" w:color="auto"/>
            </w:tcBorders>
            <w:shd w:val="clear" w:color="auto" w:fill="auto"/>
            <w:noWrap/>
            <w:vAlign w:val="center"/>
          </w:tcPr>
          <w:p w14:paraId="32018BEE" w14:textId="02BE23F6"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24,5</w:t>
            </w:r>
          </w:p>
        </w:tc>
        <w:tc>
          <w:tcPr>
            <w:tcW w:w="1081" w:type="dxa"/>
            <w:tcBorders>
              <w:top w:val="nil"/>
              <w:left w:val="nil"/>
              <w:bottom w:val="single" w:sz="4" w:space="0" w:color="auto"/>
              <w:right w:val="single" w:sz="4" w:space="0" w:color="auto"/>
            </w:tcBorders>
            <w:shd w:val="clear" w:color="auto" w:fill="auto"/>
            <w:noWrap/>
            <w:vAlign w:val="center"/>
          </w:tcPr>
          <w:p w14:paraId="0061F00C" w14:textId="799B331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483</w:t>
            </w:r>
          </w:p>
        </w:tc>
        <w:tc>
          <w:tcPr>
            <w:tcW w:w="992" w:type="dxa"/>
            <w:tcBorders>
              <w:top w:val="nil"/>
              <w:left w:val="nil"/>
              <w:bottom w:val="single" w:sz="4" w:space="0" w:color="auto"/>
              <w:right w:val="single" w:sz="4" w:space="0" w:color="auto"/>
            </w:tcBorders>
            <w:shd w:val="clear" w:color="auto" w:fill="auto"/>
            <w:noWrap/>
            <w:vAlign w:val="center"/>
          </w:tcPr>
          <w:p w14:paraId="4842B3E2" w14:textId="490B7457"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68</w:t>
            </w:r>
            <w:r w:rsidR="00915AF6">
              <w:t xml:space="preserve"> </w:t>
            </w:r>
            <w:r w:rsidRPr="008C0D1D">
              <w:t>%</w:t>
            </w:r>
          </w:p>
        </w:tc>
      </w:tr>
      <w:tr w:rsidR="00FA1895" w:rsidRPr="00CD3F5E" w14:paraId="60CF4ABB"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5FE60" w14:textId="331BFECD"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JP – Průmyslové</w:t>
            </w:r>
            <w:r w:rsidR="00FA1895" w:rsidRPr="002929FC">
              <w:t xml:space="preserve"> procesy a zpracování</w:t>
            </w:r>
          </w:p>
        </w:tc>
        <w:tc>
          <w:tcPr>
            <w:tcW w:w="709" w:type="dxa"/>
            <w:tcBorders>
              <w:top w:val="nil"/>
              <w:left w:val="nil"/>
              <w:bottom w:val="single" w:sz="4" w:space="0" w:color="auto"/>
              <w:right w:val="single" w:sz="4" w:space="0" w:color="auto"/>
            </w:tcBorders>
            <w:shd w:val="clear" w:color="auto" w:fill="auto"/>
            <w:noWrap/>
            <w:vAlign w:val="center"/>
            <w:hideMark/>
          </w:tcPr>
          <w:p w14:paraId="027CACE7" w14:textId="7BDDEA02"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29</w:t>
            </w:r>
          </w:p>
        </w:tc>
        <w:tc>
          <w:tcPr>
            <w:tcW w:w="1134" w:type="dxa"/>
            <w:tcBorders>
              <w:top w:val="nil"/>
              <w:left w:val="nil"/>
              <w:bottom w:val="single" w:sz="4" w:space="0" w:color="auto"/>
              <w:right w:val="single" w:sz="4" w:space="0" w:color="auto"/>
            </w:tcBorders>
            <w:shd w:val="clear" w:color="auto" w:fill="auto"/>
            <w:noWrap/>
            <w:vAlign w:val="center"/>
          </w:tcPr>
          <w:p w14:paraId="0401CF7F" w14:textId="3C53566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710</w:t>
            </w:r>
          </w:p>
        </w:tc>
        <w:tc>
          <w:tcPr>
            <w:tcW w:w="1134" w:type="dxa"/>
            <w:tcBorders>
              <w:top w:val="nil"/>
              <w:left w:val="nil"/>
              <w:bottom w:val="single" w:sz="4" w:space="0" w:color="auto"/>
              <w:right w:val="single" w:sz="4" w:space="0" w:color="auto"/>
            </w:tcBorders>
            <w:shd w:val="clear" w:color="auto" w:fill="auto"/>
            <w:noWrap/>
            <w:vAlign w:val="center"/>
          </w:tcPr>
          <w:p w14:paraId="5481E9BE" w14:textId="51C1B6DE"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24,5</w:t>
            </w:r>
          </w:p>
        </w:tc>
        <w:tc>
          <w:tcPr>
            <w:tcW w:w="1081" w:type="dxa"/>
            <w:tcBorders>
              <w:top w:val="nil"/>
              <w:left w:val="nil"/>
              <w:bottom w:val="single" w:sz="4" w:space="0" w:color="auto"/>
              <w:right w:val="single" w:sz="4" w:space="0" w:color="auto"/>
            </w:tcBorders>
            <w:shd w:val="clear" w:color="auto" w:fill="auto"/>
            <w:noWrap/>
            <w:vAlign w:val="center"/>
          </w:tcPr>
          <w:p w14:paraId="16F10E1C" w14:textId="522654F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458</w:t>
            </w:r>
          </w:p>
        </w:tc>
        <w:tc>
          <w:tcPr>
            <w:tcW w:w="992" w:type="dxa"/>
            <w:tcBorders>
              <w:top w:val="nil"/>
              <w:left w:val="nil"/>
              <w:bottom w:val="single" w:sz="4" w:space="0" w:color="auto"/>
              <w:right w:val="single" w:sz="4" w:space="0" w:color="auto"/>
            </w:tcBorders>
            <w:shd w:val="clear" w:color="auto" w:fill="auto"/>
            <w:noWrap/>
            <w:vAlign w:val="center"/>
          </w:tcPr>
          <w:p w14:paraId="38B70889" w14:textId="577B156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65</w:t>
            </w:r>
            <w:r w:rsidR="00915AF6">
              <w:t xml:space="preserve"> </w:t>
            </w:r>
            <w:r w:rsidRPr="008C0D1D">
              <w:t>%</w:t>
            </w:r>
          </w:p>
        </w:tc>
      </w:tr>
      <w:tr w:rsidR="00FA1895" w:rsidRPr="00CD3F5E" w14:paraId="72937D0C"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2D568" w14:textId="3AAF998F"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JI – Kompositní</w:t>
            </w:r>
            <w:r w:rsidR="00FA1895" w:rsidRPr="002929FC">
              <w:t xml:space="preserve"> materiály</w:t>
            </w:r>
          </w:p>
        </w:tc>
        <w:tc>
          <w:tcPr>
            <w:tcW w:w="709" w:type="dxa"/>
            <w:tcBorders>
              <w:top w:val="nil"/>
              <w:left w:val="nil"/>
              <w:bottom w:val="single" w:sz="4" w:space="0" w:color="auto"/>
              <w:right w:val="single" w:sz="4" w:space="0" w:color="auto"/>
            </w:tcBorders>
            <w:shd w:val="clear" w:color="auto" w:fill="auto"/>
            <w:noWrap/>
            <w:vAlign w:val="center"/>
            <w:hideMark/>
          </w:tcPr>
          <w:p w14:paraId="4F71B8B8" w14:textId="7678F63A"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23</w:t>
            </w:r>
          </w:p>
        </w:tc>
        <w:tc>
          <w:tcPr>
            <w:tcW w:w="1134" w:type="dxa"/>
            <w:tcBorders>
              <w:top w:val="nil"/>
              <w:left w:val="nil"/>
              <w:bottom w:val="single" w:sz="4" w:space="0" w:color="auto"/>
              <w:right w:val="single" w:sz="4" w:space="0" w:color="auto"/>
            </w:tcBorders>
            <w:shd w:val="clear" w:color="auto" w:fill="auto"/>
            <w:noWrap/>
            <w:vAlign w:val="center"/>
          </w:tcPr>
          <w:p w14:paraId="58C83EB0" w14:textId="55FB1DBB"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505</w:t>
            </w:r>
          </w:p>
        </w:tc>
        <w:tc>
          <w:tcPr>
            <w:tcW w:w="1134" w:type="dxa"/>
            <w:tcBorders>
              <w:top w:val="nil"/>
              <w:left w:val="nil"/>
              <w:bottom w:val="single" w:sz="4" w:space="0" w:color="auto"/>
              <w:right w:val="single" w:sz="4" w:space="0" w:color="auto"/>
            </w:tcBorders>
            <w:shd w:val="clear" w:color="auto" w:fill="auto"/>
            <w:noWrap/>
            <w:vAlign w:val="center"/>
          </w:tcPr>
          <w:p w14:paraId="1519C998" w14:textId="17FA543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22,0</w:t>
            </w:r>
          </w:p>
        </w:tc>
        <w:tc>
          <w:tcPr>
            <w:tcW w:w="1081" w:type="dxa"/>
            <w:tcBorders>
              <w:top w:val="nil"/>
              <w:left w:val="nil"/>
              <w:bottom w:val="single" w:sz="4" w:space="0" w:color="auto"/>
              <w:right w:val="single" w:sz="4" w:space="0" w:color="auto"/>
            </w:tcBorders>
            <w:shd w:val="clear" w:color="auto" w:fill="auto"/>
            <w:noWrap/>
            <w:vAlign w:val="center"/>
          </w:tcPr>
          <w:p w14:paraId="19579607" w14:textId="4B8BA4E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347</w:t>
            </w:r>
          </w:p>
        </w:tc>
        <w:tc>
          <w:tcPr>
            <w:tcW w:w="992" w:type="dxa"/>
            <w:tcBorders>
              <w:top w:val="nil"/>
              <w:left w:val="nil"/>
              <w:bottom w:val="single" w:sz="4" w:space="0" w:color="auto"/>
              <w:right w:val="single" w:sz="4" w:space="0" w:color="auto"/>
            </w:tcBorders>
            <w:shd w:val="clear" w:color="auto" w:fill="auto"/>
            <w:noWrap/>
            <w:vAlign w:val="center"/>
          </w:tcPr>
          <w:p w14:paraId="50233ACC" w14:textId="27F01A08"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69</w:t>
            </w:r>
            <w:r w:rsidR="00915AF6">
              <w:t xml:space="preserve"> </w:t>
            </w:r>
            <w:r w:rsidRPr="008C0D1D">
              <w:t>%</w:t>
            </w:r>
          </w:p>
        </w:tc>
      </w:tr>
      <w:tr w:rsidR="00FA1895" w:rsidRPr="00CD3F5E" w14:paraId="3477EA13"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12681" w14:textId="6D2AD579"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FS – Lékařská</w:t>
            </w:r>
            <w:r w:rsidR="00FA1895" w:rsidRPr="002929FC">
              <w:t xml:space="preserve"> zařízení, přístroje a vybavení</w:t>
            </w:r>
          </w:p>
        </w:tc>
        <w:tc>
          <w:tcPr>
            <w:tcW w:w="709" w:type="dxa"/>
            <w:tcBorders>
              <w:top w:val="nil"/>
              <w:left w:val="nil"/>
              <w:bottom w:val="single" w:sz="4" w:space="0" w:color="auto"/>
              <w:right w:val="single" w:sz="4" w:space="0" w:color="auto"/>
            </w:tcBorders>
            <w:shd w:val="clear" w:color="auto" w:fill="auto"/>
            <w:noWrap/>
            <w:vAlign w:val="center"/>
            <w:hideMark/>
          </w:tcPr>
          <w:p w14:paraId="3B9EE121" w14:textId="15EEBC02"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21</w:t>
            </w:r>
          </w:p>
        </w:tc>
        <w:tc>
          <w:tcPr>
            <w:tcW w:w="1134" w:type="dxa"/>
            <w:tcBorders>
              <w:top w:val="nil"/>
              <w:left w:val="nil"/>
              <w:bottom w:val="single" w:sz="4" w:space="0" w:color="auto"/>
              <w:right w:val="single" w:sz="4" w:space="0" w:color="auto"/>
            </w:tcBorders>
            <w:shd w:val="clear" w:color="auto" w:fill="auto"/>
            <w:noWrap/>
            <w:vAlign w:val="center"/>
          </w:tcPr>
          <w:p w14:paraId="592F86A7" w14:textId="5ABA88C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529</w:t>
            </w:r>
          </w:p>
        </w:tc>
        <w:tc>
          <w:tcPr>
            <w:tcW w:w="1134" w:type="dxa"/>
            <w:tcBorders>
              <w:top w:val="nil"/>
              <w:left w:val="nil"/>
              <w:bottom w:val="single" w:sz="4" w:space="0" w:color="auto"/>
              <w:right w:val="single" w:sz="4" w:space="0" w:color="auto"/>
            </w:tcBorders>
            <w:shd w:val="clear" w:color="auto" w:fill="auto"/>
            <w:noWrap/>
            <w:vAlign w:val="center"/>
          </w:tcPr>
          <w:p w14:paraId="0F4DA271" w14:textId="17871AAB"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25,2</w:t>
            </w:r>
          </w:p>
        </w:tc>
        <w:tc>
          <w:tcPr>
            <w:tcW w:w="1081" w:type="dxa"/>
            <w:tcBorders>
              <w:top w:val="nil"/>
              <w:left w:val="nil"/>
              <w:bottom w:val="single" w:sz="4" w:space="0" w:color="auto"/>
              <w:right w:val="single" w:sz="4" w:space="0" w:color="auto"/>
            </w:tcBorders>
            <w:shd w:val="clear" w:color="auto" w:fill="auto"/>
            <w:noWrap/>
            <w:vAlign w:val="center"/>
          </w:tcPr>
          <w:p w14:paraId="305D8080" w14:textId="483F526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359</w:t>
            </w:r>
          </w:p>
        </w:tc>
        <w:tc>
          <w:tcPr>
            <w:tcW w:w="992" w:type="dxa"/>
            <w:tcBorders>
              <w:top w:val="nil"/>
              <w:left w:val="nil"/>
              <w:bottom w:val="single" w:sz="4" w:space="0" w:color="auto"/>
              <w:right w:val="single" w:sz="4" w:space="0" w:color="auto"/>
            </w:tcBorders>
            <w:shd w:val="clear" w:color="auto" w:fill="auto"/>
            <w:noWrap/>
            <w:vAlign w:val="center"/>
          </w:tcPr>
          <w:p w14:paraId="0E1771DD" w14:textId="41237F0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68</w:t>
            </w:r>
            <w:r w:rsidR="00915AF6">
              <w:t xml:space="preserve"> </w:t>
            </w:r>
            <w:r w:rsidRPr="008C0D1D">
              <w:t>%</w:t>
            </w:r>
          </w:p>
        </w:tc>
      </w:tr>
      <w:tr w:rsidR="00FA1895" w:rsidRPr="00CD3F5E" w14:paraId="08429FCB"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BBCFB" w14:textId="4DA1751E"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JC – Počítačový</w:t>
            </w:r>
            <w:r w:rsidR="00FA1895" w:rsidRPr="002929FC">
              <w:t xml:space="preserve"> hardware a software</w:t>
            </w:r>
          </w:p>
        </w:tc>
        <w:tc>
          <w:tcPr>
            <w:tcW w:w="709" w:type="dxa"/>
            <w:tcBorders>
              <w:top w:val="nil"/>
              <w:left w:val="nil"/>
              <w:bottom w:val="single" w:sz="4" w:space="0" w:color="auto"/>
              <w:right w:val="single" w:sz="4" w:space="0" w:color="auto"/>
            </w:tcBorders>
            <w:shd w:val="clear" w:color="auto" w:fill="auto"/>
            <w:noWrap/>
            <w:vAlign w:val="center"/>
            <w:hideMark/>
          </w:tcPr>
          <w:p w14:paraId="156DE079" w14:textId="687244B0"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20</w:t>
            </w:r>
          </w:p>
        </w:tc>
        <w:tc>
          <w:tcPr>
            <w:tcW w:w="1134" w:type="dxa"/>
            <w:tcBorders>
              <w:top w:val="nil"/>
              <w:left w:val="nil"/>
              <w:bottom w:val="single" w:sz="4" w:space="0" w:color="auto"/>
              <w:right w:val="single" w:sz="4" w:space="0" w:color="auto"/>
            </w:tcBorders>
            <w:shd w:val="clear" w:color="auto" w:fill="auto"/>
            <w:noWrap/>
            <w:vAlign w:val="center"/>
          </w:tcPr>
          <w:p w14:paraId="33493C07" w14:textId="37D19F0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406</w:t>
            </w:r>
          </w:p>
        </w:tc>
        <w:tc>
          <w:tcPr>
            <w:tcW w:w="1134" w:type="dxa"/>
            <w:tcBorders>
              <w:top w:val="nil"/>
              <w:left w:val="nil"/>
              <w:bottom w:val="single" w:sz="4" w:space="0" w:color="auto"/>
              <w:right w:val="single" w:sz="4" w:space="0" w:color="auto"/>
            </w:tcBorders>
            <w:shd w:val="clear" w:color="auto" w:fill="auto"/>
            <w:noWrap/>
            <w:vAlign w:val="center"/>
          </w:tcPr>
          <w:p w14:paraId="1B90A99E" w14:textId="44708310"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20,3</w:t>
            </w:r>
          </w:p>
        </w:tc>
        <w:tc>
          <w:tcPr>
            <w:tcW w:w="1081" w:type="dxa"/>
            <w:tcBorders>
              <w:top w:val="nil"/>
              <w:left w:val="nil"/>
              <w:bottom w:val="single" w:sz="4" w:space="0" w:color="auto"/>
              <w:right w:val="single" w:sz="4" w:space="0" w:color="auto"/>
            </w:tcBorders>
            <w:shd w:val="clear" w:color="auto" w:fill="auto"/>
            <w:noWrap/>
            <w:vAlign w:val="center"/>
          </w:tcPr>
          <w:p w14:paraId="17C7DA68" w14:textId="3F847A68"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260</w:t>
            </w:r>
          </w:p>
        </w:tc>
        <w:tc>
          <w:tcPr>
            <w:tcW w:w="992" w:type="dxa"/>
            <w:tcBorders>
              <w:top w:val="nil"/>
              <w:left w:val="nil"/>
              <w:bottom w:val="single" w:sz="4" w:space="0" w:color="auto"/>
              <w:right w:val="single" w:sz="4" w:space="0" w:color="auto"/>
            </w:tcBorders>
            <w:shd w:val="clear" w:color="auto" w:fill="auto"/>
            <w:noWrap/>
            <w:vAlign w:val="center"/>
          </w:tcPr>
          <w:p w14:paraId="6912909C" w14:textId="09CDB68B"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64</w:t>
            </w:r>
            <w:r w:rsidR="00915AF6">
              <w:t xml:space="preserve"> </w:t>
            </w:r>
            <w:r w:rsidRPr="008C0D1D">
              <w:t>%</w:t>
            </w:r>
          </w:p>
        </w:tc>
      </w:tr>
      <w:tr w:rsidR="00FA1895" w:rsidRPr="00CD3F5E" w14:paraId="18A8A4AF"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8F088" w14:textId="7680AFC2"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BH – Optika</w:t>
            </w:r>
            <w:r w:rsidR="00FA1895" w:rsidRPr="002929FC">
              <w:t>, masery a lasery</w:t>
            </w:r>
          </w:p>
        </w:tc>
        <w:tc>
          <w:tcPr>
            <w:tcW w:w="709" w:type="dxa"/>
            <w:tcBorders>
              <w:top w:val="nil"/>
              <w:left w:val="nil"/>
              <w:bottom w:val="single" w:sz="4" w:space="0" w:color="auto"/>
              <w:right w:val="single" w:sz="4" w:space="0" w:color="auto"/>
            </w:tcBorders>
            <w:shd w:val="clear" w:color="auto" w:fill="auto"/>
            <w:noWrap/>
            <w:vAlign w:val="center"/>
            <w:hideMark/>
          </w:tcPr>
          <w:p w14:paraId="2F307DAE" w14:textId="150F250B"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18</w:t>
            </w:r>
          </w:p>
        </w:tc>
        <w:tc>
          <w:tcPr>
            <w:tcW w:w="1134" w:type="dxa"/>
            <w:tcBorders>
              <w:top w:val="nil"/>
              <w:left w:val="nil"/>
              <w:bottom w:val="single" w:sz="4" w:space="0" w:color="auto"/>
              <w:right w:val="single" w:sz="4" w:space="0" w:color="auto"/>
            </w:tcBorders>
            <w:shd w:val="clear" w:color="auto" w:fill="auto"/>
            <w:noWrap/>
            <w:vAlign w:val="center"/>
          </w:tcPr>
          <w:p w14:paraId="725241D1" w14:textId="066FC568"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529</w:t>
            </w:r>
          </w:p>
        </w:tc>
        <w:tc>
          <w:tcPr>
            <w:tcW w:w="1134" w:type="dxa"/>
            <w:tcBorders>
              <w:top w:val="nil"/>
              <w:left w:val="nil"/>
              <w:bottom w:val="single" w:sz="4" w:space="0" w:color="auto"/>
              <w:right w:val="single" w:sz="4" w:space="0" w:color="auto"/>
            </w:tcBorders>
            <w:shd w:val="clear" w:color="auto" w:fill="auto"/>
            <w:noWrap/>
            <w:vAlign w:val="center"/>
          </w:tcPr>
          <w:p w14:paraId="58B3E550" w14:textId="32D9397F"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29,4</w:t>
            </w:r>
          </w:p>
        </w:tc>
        <w:tc>
          <w:tcPr>
            <w:tcW w:w="1081" w:type="dxa"/>
            <w:tcBorders>
              <w:top w:val="nil"/>
              <w:left w:val="nil"/>
              <w:bottom w:val="single" w:sz="4" w:space="0" w:color="auto"/>
              <w:right w:val="single" w:sz="4" w:space="0" w:color="auto"/>
            </w:tcBorders>
            <w:shd w:val="clear" w:color="auto" w:fill="auto"/>
            <w:noWrap/>
            <w:vAlign w:val="center"/>
          </w:tcPr>
          <w:p w14:paraId="0871079B" w14:textId="02BBD2E9"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356</w:t>
            </w:r>
          </w:p>
        </w:tc>
        <w:tc>
          <w:tcPr>
            <w:tcW w:w="992" w:type="dxa"/>
            <w:tcBorders>
              <w:top w:val="nil"/>
              <w:left w:val="nil"/>
              <w:bottom w:val="single" w:sz="4" w:space="0" w:color="auto"/>
              <w:right w:val="single" w:sz="4" w:space="0" w:color="auto"/>
            </w:tcBorders>
            <w:shd w:val="clear" w:color="auto" w:fill="auto"/>
            <w:noWrap/>
            <w:vAlign w:val="center"/>
          </w:tcPr>
          <w:p w14:paraId="733D7B1B" w14:textId="33E0BB67"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67</w:t>
            </w:r>
            <w:r w:rsidR="00915AF6">
              <w:t xml:space="preserve"> </w:t>
            </w:r>
            <w:r w:rsidRPr="008C0D1D">
              <w:t>%</w:t>
            </w:r>
          </w:p>
        </w:tc>
      </w:tr>
      <w:tr w:rsidR="00FA1895" w:rsidRPr="00CD3F5E" w14:paraId="0F91AF39"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29A61" w14:textId="5591535F"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CI – Průmyslová</w:t>
            </w:r>
            <w:r w:rsidR="00FA1895" w:rsidRPr="002929FC">
              <w:t xml:space="preserve"> chemie a chemické inženýrství</w:t>
            </w:r>
          </w:p>
        </w:tc>
        <w:tc>
          <w:tcPr>
            <w:tcW w:w="709" w:type="dxa"/>
            <w:tcBorders>
              <w:top w:val="nil"/>
              <w:left w:val="nil"/>
              <w:bottom w:val="single" w:sz="4" w:space="0" w:color="auto"/>
              <w:right w:val="single" w:sz="4" w:space="0" w:color="auto"/>
            </w:tcBorders>
            <w:shd w:val="clear" w:color="auto" w:fill="auto"/>
            <w:noWrap/>
            <w:vAlign w:val="center"/>
            <w:hideMark/>
          </w:tcPr>
          <w:p w14:paraId="7CA935AE" w14:textId="305AA722"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18</w:t>
            </w:r>
          </w:p>
        </w:tc>
        <w:tc>
          <w:tcPr>
            <w:tcW w:w="1134" w:type="dxa"/>
            <w:tcBorders>
              <w:top w:val="nil"/>
              <w:left w:val="nil"/>
              <w:bottom w:val="single" w:sz="4" w:space="0" w:color="auto"/>
              <w:right w:val="single" w:sz="4" w:space="0" w:color="auto"/>
            </w:tcBorders>
            <w:shd w:val="clear" w:color="auto" w:fill="auto"/>
            <w:noWrap/>
            <w:vAlign w:val="center"/>
          </w:tcPr>
          <w:p w14:paraId="027D4821" w14:textId="65629399"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505</w:t>
            </w:r>
          </w:p>
        </w:tc>
        <w:tc>
          <w:tcPr>
            <w:tcW w:w="1134" w:type="dxa"/>
            <w:tcBorders>
              <w:top w:val="nil"/>
              <w:left w:val="nil"/>
              <w:bottom w:val="single" w:sz="4" w:space="0" w:color="auto"/>
              <w:right w:val="single" w:sz="4" w:space="0" w:color="auto"/>
            </w:tcBorders>
            <w:shd w:val="clear" w:color="auto" w:fill="auto"/>
            <w:noWrap/>
            <w:vAlign w:val="center"/>
          </w:tcPr>
          <w:p w14:paraId="1B44CD77" w14:textId="56EE5BBF"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28,1</w:t>
            </w:r>
          </w:p>
        </w:tc>
        <w:tc>
          <w:tcPr>
            <w:tcW w:w="1081" w:type="dxa"/>
            <w:tcBorders>
              <w:top w:val="nil"/>
              <w:left w:val="nil"/>
              <w:bottom w:val="single" w:sz="4" w:space="0" w:color="auto"/>
              <w:right w:val="single" w:sz="4" w:space="0" w:color="auto"/>
            </w:tcBorders>
            <w:shd w:val="clear" w:color="auto" w:fill="auto"/>
            <w:noWrap/>
            <w:vAlign w:val="center"/>
          </w:tcPr>
          <w:p w14:paraId="398B1FE8" w14:textId="42E94E4A"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333</w:t>
            </w:r>
          </w:p>
        </w:tc>
        <w:tc>
          <w:tcPr>
            <w:tcW w:w="992" w:type="dxa"/>
            <w:tcBorders>
              <w:top w:val="nil"/>
              <w:left w:val="nil"/>
              <w:bottom w:val="single" w:sz="4" w:space="0" w:color="auto"/>
              <w:right w:val="single" w:sz="4" w:space="0" w:color="auto"/>
            </w:tcBorders>
            <w:shd w:val="clear" w:color="auto" w:fill="auto"/>
            <w:noWrap/>
            <w:vAlign w:val="center"/>
          </w:tcPr>
          <w:p w14:paraId="2953D150" w14:textId="4F822E2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66</w:t>
            </w:r>
            <w:r w:rsidR="00915AF6">
              <w:t xml:space="preserve"> </w:t>
            </w:r>
            <w:r w:rsidRPr="008C0D1D">
              <w:t>%</w:t>
            </w:r>
          </w:p>
        </w:tc>
      </w:tr>
      <w:tr w:rsidR="00FA1895" w:rsidRPr="00CD3F5E" w14:paraId="21F8D952"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BEA48" w14:textId="5FB615F1"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JR – Ostatní</w:t>
            </w:r>
            <w:r w:rsidR="00FA1895" w:rsidRPr="002929FC">
              <w:t xml:space="preserve"> strojírenství</w:t>
            </w:r>
          </w:p>
        </w:tc>
        <w:tc>
          <w:tcPr>
            <w:tcW w:w="709" w:type="dxa"/>
            <w:tcBorders>
              <w:top w:val="nil"/>
              <w:left w:val="nil"/>
              <w:bottom w:val="single" w:sz="4" w:space="0" w:color="auto"/>
              <w:right w:val="single" w:sz="4" w:space="0" w:color="auto"/>
            </w:tcBorders>
            <w:shd w:val="clear" w:color="auto" w:fill="auto"/>
            <w:noWrap/>
            <w:vAlign w:val="center"/>
            <w:hideMark/>
          </w:tcPr>
          <w:p w14:paraId="7557BE6B" w14:textId="3AB6172E"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18</w:t>
            </w:r>
          </w:p>
        </w:tc>
        <w:tc>
          <w:tcPr>
            <w:tcW w:w="1134" w:type="dxa"/>
            <w:tcBorders>
              <w:top w:val="nil"/>
              <w:left w:val="nil"/>
              <w:bottom w:val="single" w:sz="4" w:space="0" w:color="auto"/>
              <w:right w:val="single" w:sz="4" w:space="0" w:color="auto"/>
            </w:tcBorders>
            <w:shd w:val="clear" w:color="auto" w:fill="auto"/>
            <w:noWrap/>
            <w:vAlign w:val="center"/>
          </w:tcPr>
          <w:p w14:paraId="42310F26" w14:textId="3D4C2A3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397</w:t>
            </w:r>
          </w:p>
        </w:tc>
        <w:tc>
          <w:tcPr>
            <w:tcW w:w="1134" w:type="dxa"/>
            <w:tcBorders>
              <w:top w:val="nil"/>
              <w:left w:val="nil"/>
              <w:bottom w:val="single" w:sz="4" w:space="0" w:color="auto"/>
              <w:right w:val="single" w:sz="4" w:space="0" w:color="auto"/>
            </w:tcBorders>
            <w:shd w:val="clear" w:color="auto" w:fill="auto"/>
            <w:noWrap/>
            <w:vAlign w:val="center"/>
          </w:tcPr>
          <w:p w14:paraId="6F1EFD71" w14:textId="232E452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22,0</w:t>
            </w:r>
          </w:p>
        </w:tc>
        <w:tc>
          <w:tcPr>
            <w:tcW w:w="1081" w:type="dxa"/>
            <w:tcBorders>
              <w:top w:val="nil"/>
              <w:left w:val="nil"/>
              <w:bottom w:val="single" w:sz="4" w:space="0" w:color="auto"/>
              <w:right w:val="single" w:sz="4" w:space="0" w:color="auto"/>
            </w:tcBorders>
            <w:shd w:val="clear" w:color="auto" w:fill="auto"/>
            <w:noWrap/>
            <w:vAlign w:val="center"/>
          </w:tcPr>
          <w:p w14:paraId="12EDD3B0" w14:textId="63FFD8F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248</w:t>
            </w:r>
          </w:p>
        </w:tc>
        <w:tc>
          <w:tcPr>
            <w:tcW w:w="992" w:type="dxa"/>
            <w:tcBorders>
              <w:top w:val="nil"/>
              <w:left w:val="nil"/>
              <w:bottom w:val="single" w:sz="4" w:space="0" w:color="auto"/>
              <w:right w:val="single" w:sz="4" w:space="0" w:color="auto"/>
            </w:tcBorders>
            <w:shd w:val="clear" w:color="auto" w:fill="auto"/>
            <w:noWrap/>
            <w:vAlign w:val="center"/>
          </w:tcPr>
          <w:p w14:paraId="48DEAF53" w14:textId="5030FF1B"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63</w:t>
            </w:r>
            <w:r w:rsidR="00915AF6">
              <w:t xml:space="preserve"> </w:t>
            </w:r>
            <w:r w:rsidRPr="008C0D1D">
              <w:t>%</w:t>
            </w:r>
          </w:p>
        </w:tc>
      </w:tr>
      <w:tr w:rsidR="00FA1895" w:rsidRPr="00CD3F5E" w14:paraId="41D8E736"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5F448" w14:textId="03AA3098"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DJ – Znečištění</w:t>
            </w:r>
            <w:r w:rsidR="00FA1895" w:rsidRPr="002929FC">
              <w:t xml:space="preserve"> a kontrola vody</w:t>
            </w:r>
          </w:p>
        </w:tc>
        <w:tc>
          <w:tcPr>
            <w:tcW w:w="709" w:type="dxa"/>
            <w:tcBorders>
              <w:top w:val="nil"/>
              <w:left w:val="nil"/>
              <w:bottom w:val="single" w:sz="4" w:space="0" w:color="auto"/>
              <w:right w:val="single" w:sz="4" w:space="0" w:color="auto"/>
            </w:tcBorders>
            <w:shd w:val="clear" w:color="auto" w:fill="auto"/>
            <w:noWrap/>
            <w:vAlign w:val="center"/>
            <w:hideMark/>
          </w:tcPr>
          <w:p w14:paraId="796951A8" w14:textId="5B14588D"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15</w:t>
            </w:r>
          </w:p>
        </w:tc>
        <w:tc>
          <w:tcPr>
            <w:tcW w:w="1134" w:type="dxa"/>
            <w:tcBorders>
              <w:top w:val="nil"/>
              <w:left w:val="nil"/>
              <w:bottom w:val="single" w:sz="4" w:space="0" w:color="auto"/>
              <w:right w:val="single" w:sz="4" w:space="0" w:color="auto"/>
            </w:tcBorders>
            <w:shd w:val="clear" w:color="auto" w:fill="auto"/>
            <w:noWrap/>
            <w:vAlign w:val="center"/>
          </w:tcPr>
          <w:p w14:paraId="586EA2A0" w14:textId="6E9E6CA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342</w:t>
            </w:r>
          </w:p>
        </w:tc>
        <w:tc>
          <w:tcPr>
            <w:tcW w:w="1134" w:type="dxa"/>
            <w:tcBorders>
              <w:top w:val="nil"/>
              <w:left w:val="nil"/>
              <w:bottom w:val="single" w:sz="4" w:space="0" w:color="auto"/>
              <w:right w:val="single" w:sz="4" w:space="0" w:color="auto"/>
            </w:tcBorders>
            <w:shd w:val="clear" w:color="auto" w:fill="auto"/>
            <w:noWrap/>
            <w:vAlign w:val="center"/>
          </w:tcPr>
          <w:p w14:paraId="2761B310" w14:textId="59D41A0D"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22,8</w:t>
            </w:r>
          </w:p>
        </w:tc>
        <w:tc>
          <w:tcPr>
            <w:tcW w:w="1081" w:type="dxa"/>
            <w:tcBorders>
              <w:top w:val="nil"/>
              <w:left w:val="nil"/>
              <w:bottom w:val="single" w:sz="4" w:space="0" w:color="auto"/>
              <w:right w:val="single" w:sz="4" w:space="0" w:color="auto"/>
            </w:tcBorders>
            <w:shd w:val="clear" w:color="auto" w:fill="auto"/>
            <w:noWrap/>
            <w:vAlign w:val="center"/>
          </w:tcPr>
          <w:p w14:paraId="6A1F259B" w14:textId="275C8249"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238</w:t>
            </w:r>
          </w:p>
        </w:tc>
        <w:tc>
          <w:tcPr>
            <w:tcW w:w="992" w:type="dxa"/>
            <w:tcBorders>
              <w:top w:val="nil"/>
              <w:left w:val="nil"/>
              <w:bottom w:val="single" w:sz="4" w:space="0" w:color="auto"/>
              <w:right w:val="single" w:sz="4" w:space="0" w:color="auto"/>
            </w:tcBorders>
            <w:shd w:val="clear" w:color="auto" w:fill="auto"/>
            <w:noWrap/>
            <w:vAlign w:val="center"/>
          </w:tcPr>
          <w:p w14:paraId="47F29F5F" w14:textId="02B79B75"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69</w:t>
            </w:r>
            <w:r w:rsidR="00915AF6">
              <w:t xml:space="preserve"> </w:t>
            </w:r>
            <w:r w:rsidRPr="008C0D1D">
              <w:t>%</w:t>
            </w:r>
          </w:p>
        </w:tc>
      </w:tr>
      <w:tr w:rsidR="00FA1895" w:rsidRPr="00CD3F5E" w14:paraId="0120BEB7"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AEB71" w14:textId="0F0BB94D"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EI – Biotechnologie</w:t>
            </w:r>
            <w:r w:rsidR="00FA1895" w:rsidRPr="002929FC">
              <w:t xml:space="preserve"> a bionika</w:t>
            </w:r>
          </w:p>
        </w:tc>
        <w:tc>
          <w:tcPr>
            <w:tcW w:w="709" w:type="dxa"/>
            <w:tcBorders>
              <w:top w:val="nil"/>
              <w:left w:val="nil"/>
              <w:bottom w:val="single" w:sz="4" w:space="0" w:color="auto"/>
              <w:right w:val="single" w:sz="4" w:space="0" w:color="auto"/>
            </w:tcBorders>
            <w:shd w:val="clear" w:color="auto" w:fill="auto"/>
            <w:noWrap/>
            <w:vAlign w:val="center"/>
            <w:hideMark/>
          </w:tcPr>
          <w:p w14:paraId="3E972C50" w14:textId="66662EC8"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15</w:t>
            </w:r>
          </w:p>
        </w:tc>
        <w:tc>
          <w:tcPr>
            <w:tcW w:w="1134" w:type="dxa"/>
            <w:tcBorders>
              <w:top w:val="nil"/>
              <w:left w:val="nil"/>
              <w:bottom w:val="single" w:sz="4" w:space="0" w:color="auto"/>
              <w:right w:val="single" w:sz="4" w:space="0" w:color="auto"/>
            </w:tcBorders>
            <w:shd w:val="clear" w:color="auto" w:fill="auto"/>
            <w:noWrap/>
            <w:vAlign w:val="center"/>
          </w:tcPr>
          <w:p w14:paraId="488BBFDF" w14:textId="34F53A4D"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392</w:t>
            </w:r>
          </w:p>
        </w:tc>
        <w:tc>
          <w:tcPr>
            <w:tcW w:w="1134" w:type="dxa"/>
            <w:tcBorders>
              <w:top w:val="nil"/>
              <w:left w:val="nil"/>
              <w:bottom w:val="single" w:sz="4" w:space="0" w:color="auto"/>
              <w:right w:val="single" w:sz="4" w:space="0" w:color="auto"/>
            </w:tcBorders>
            <w:shd w:val="clear" w:color="auto" w:fill="auto"/>
            <w:noWrap/>
            <w:vAlign w:val="center"/>
          </w:tcPr>
          <w:p w14:paraId="344C9A71" w14:textId="77336873"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26,1</w:t>
            </w:r>
          </w:p>
        </w:tc>
        <w:tc>
          <w:tcPr>
            <w:tcW w:w="1081" w:type="dxa"/>
            <w:tcBorders>
              <w:top w:val="nil"/>
              <w:left w:val="nil"/>
              <w:bottom w:val="single" w:sz="4" w:space="0" w:color="auto"/>
              <w:right w:val="single" w:sz="4" w:space="0" w:color="auto"/>
            </w:tcBorders>
            <w:shd w:val="clear" w:color="auto" w:fill="auto"/>
            <w:noWrap/>
            <w:vAlign w:val="center"/>
          </w:tcPr>
          <w:p w14:paraId="79CD9F03" w14:textId="120F48C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265</w:t>
            </w:r>
          </w:p>
        </w:tc>
        <w:tc>
          <w:tcPr>
            <w:tcW w:w="992" w:type="dxa"/>
            <w:tcBorders>
              <w:top w:val="nil"/>
              <w:left w:val="nil"/>
              <w:bottom w:val="single" w:sz="4" w:space="0" w:color="auto"/>
              <w:right w:val="single" w:sz="4" w:space="0" w:color="auto"/>
            </w:tcBorders>
            <w:shd w:val="clear" w:color="auto" w:fill="auto"/>
            <w:noWrap/>
            <w:vAlign w:val="center"/>
          </w:tcPr>
          <w:p w14:paraId="605A3E9C" w14:textId="58D3998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68</w:t>
            </w:r>
            <w:r w:rsidR="00915AF6">
              <w:t xml:space="preserve"> </w:t>
            </w:r>
            <w:r w:rsidRPr="008C0D1D">
              <w:t>%</w:t>
            </w:r>
          </w:p>
        </w:tc>
      </w:tr>
      <w:tr w:rsidR="00FA1895" w:rsidRPr="00CD3F5E" w14:paraId="3630E674"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1365D" w14:textId="092869F2"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JT – Pohon</w:t>
            </w:r>
            <w:r w:rsidR="00FA1895" w:rsidRPr="002929FC">
              <w:t>, motory a paliva</w:t>
            </w:r>
          </w:p>
        </w:tc>
        <w:tc>
          <w:tcPr>
            <w:tcW w:w="709" w:type="dxa"/>
            <w:tcBorders>
              <w:top w:val="nil"/>
              <w:left w:val="nil"/>
              <w:bottom w:val="single" w:sz="4" w:space="0" w:color="auto"/>
              <w:right w:val="single" w:sz="4" w:space="0" w:color="auto"/>
            </w:tcBorders>
            <w:shd w:val="clear" w:color="auto" w:fill="auto"/>
            <w:noWrap/>
            <w:vAlign w:val="center"/>
            <w:hideMark/>
          </w:tcPr>
          <w:p w14:paraId="40CF7D5B" w14:textId="6E3F402E"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15</w:t>
            </w:r>
          </w:p>
        </w:tc>
        <w:tc>
          <w:tcPr>
            <w:tcW w:w="1134" w:type="dxa"/>
            <w:tcBorders>
              <w:top w:val="nil"/>
              <w:left w:val="nil"/>
              <w:bottom w:val="single" w:sz="4" w:space="0" w:color="auto"/>
              <w:right w:val="single" w:sz="4" w:space="0" w:color="auto"/>
            </w:tcBorders>
            <w:shd w:val="clear" w:color="auto" w:fill="auto"/>
            <w:noWrap/>
            <w:vAlign w:val="center"/>
          </w:tcPr>
          <w:p w14:paraId="7308DCC1" w14:textId="16553928"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600</w:t>
            </w:r>
          </w:p>
        </w:tc>
        <w:tc>
          <w:tcPr>
            <w:tcW w:w="1134" w:type="dxa"/>
            <w:tcBorders>
              <w:top w:val="nil"/>
              <w:left w:val="nil"/>
              <w:bottom w:val="single" w:sz="4" w:space="0" w:color="auto"/>
              <w:right w:val="single" w:sz="4" w:space="0" w:color="auto"/>
            </w:tcBorders>
            <w:shd w:val="clear" w:color="auto" w:fill="auto"/>
            <w:noWrap/>
            <w:vAlign w:val="center"/>
          </w:tcPr>
          <w:p w14:paraId="3609CA01" w14:textId="317F1232"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40,0</w:t>
            </w:r>
          </w:p>
        </w:tc>
        <w:tc>
          <w:tcPr>
            <w:tcW w:w="1081" w:type="dxa"/>
            <w:tcBorders>
              <w:top w:val="nil"/>
              <w:left w:val="nil"/>
              <w:bottom w:val="single" w:sz="4" w:space="0" w:color="auto"/>
              <w:right w:val="single" w:sz="4" w:space="0" w:color="auto"/>
            </w:tcBorders>
            <w:shd w:val="clear" w:color="auto" w:fill="auto"/>
            <w:noWrap/>
            <w:vAlign w:val="center"/>
          </w:tcPr>
          <w:p w14:paraId="309765CD" w14:textId="0D7F80DB"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366</w:t>
            </w:r>
          </w:p>
        </w:tc>
        <w:tc>
          <w:tcPr>
            <w:tcW w:w="992" w:type="dxa"/>
            <w:tcBorders>
              <w:top w:val="nil"/>
              <w:left w:val="nil"/>
              <w:bottom w:val="single" w:sz="4" w:space="0" w:color="auto"/>
              <w:right w:val="single" w:sz="4" w:space="0" w:color="auto"/>
            </w:tcBorders>
            <w:shd w:val="clear" w:color="auto" w:fill="auto"/>
            <w:noWrap/>
            <w:vAlign w:val="center"/>
          </w:tcPr>
          <w:p w14:paraId="3B29305B" w14:textId="48B537C5"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61</w:t>
            </w:r>
            <w:r w:rsidR="00915AF6">
              <w:t xml:space="preserve"> </w:t>
            </w:r>
            <w:r w:rsidRPr="008C0D1D">
              <w:t>%</w:t>
            </w:r>
          </w:p>
        </w:tc>
      </w:tr>
      <w:tr w:rsidR="00FA1895" w:rsidRPr="00CD3F5E" w14:paraId="76CA7EE2"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D05A" w14:textId="1FD182DA"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JJ – Ostatní</w:t>
            </w:r>
            <w:r w:rsidR="00FA1895" w:rsidRPr="002929FC">
              <w:t xml:space="preserve"> materiály</w:t>
            </w:r>
          </w:p>
        </w:tc>
        <w:tc>
          <w:tcPr>
            <w:tcW w:w="709" w:type="dxa"/>
            <w:tcBorders>
              <w:top w:val="nil"/>
              <w:left w:val="nil"/>
              <w:bottom w:val="single" w:sz="4" w:space="0" w:color="auto"/>
              <w:right w:val="single" w:sz="4" w:space="0" w:color="auto"/>
            </w:tcBorders>
            <w:shd w:val="clear" w:color="auto" w:fill="auto"/>
            <w:noWrap/>
            <w:vAlign w:val="center"/>
            <w:hideMark/>
          </w:tcPr>
          <w:p w14:paraId="3316C8DD" w14:textId="7D206EDE"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14</w:t>
            </w:r>
          </w:p>
        </w:tc>
        <w:tc>
          <w:tcPr>
            <w:tcW w:w="1134" w:type="dxa"/>
            <w:tcBorders>
              <w:top w:val="nil"/>
              <w:left w:val="nil"/>
              <w:bottom w:val="single" w:sz="4" w:space="0" w:color="auto"/>
              <w:right w:val="single" w:sz="4" w:space="0" w:color="auto"/>
            </w:tcBorders>
            <w:shd w:val="clear" w:color="auto" w:fill="auto"/>
            <w:noWrap/>
            <w:vAlign w:val="center"/>
          </w:tcPr>
          <w:p w14:paraId="0C249AA8" w14:textId="7EF40F9D"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426</w:t>
            </w:r>
          </w:p>
        </w:tc>
        <w:tc>
          <w:tcPr>
            <w:tcW w:w="1134" w:type="dxa"/>
            <w:tcBorders>
              <w:top w:val="nil"/>
              <w:left w:val="nil"/>
              <w:bottom w:val="single" w:sz="4" w:space="0" w:color="auto"/>
              <w:right w:val="single" w:sz="4" w:space="0" w:color="auto"/>
            </w:tcBorders>
            <w:shd w:val="clear" w:color="auto" w:fill="auto"/>
            <w:noWrap/>
            <w:vAlign w:val="center"/>
          </w:tcPr>
          <w:p w14:paraId="734DE6BC" w14:textId="6E128AC5"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30,4</w:t>
            </w:r>
          </w:p>
        </w:tc>
        <w:tc>
          <w:tcPr>
            <w:tcW w:w="1081" w:type="dxa"/>
            <w:tcBorders>
              <w:top w:val="nil"/>
              <w:left w:val="nil"/>
              <w:bottom w:val="single" w:sz="4" w:space="0" w:color="auto"/>
              <w:right w:val="single" w:sz="4" w:space="0" w:color="auto"/>
            </w:tcBorders>
            <w:shd w:val="clear" w:color="auto" w:fill="auto"/>
            <w:noWrap/>
            <w:vAlign w:val="center"/>
          </w:tcPr>
          <w:p w14:paraId="0E99B3FC" w14:textId="577B33F9"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256</w:t>
            </w:r>
          </w:p>
        </w:tc>
        <w:tc>
          <w:tcPr>
            <w:tcW w:w="992" w:type="dxa"/>
            <w:tcBorders>
              <w:top w:val="nil"/>
              <w:left w:val="nil"/>
              <w:bottom w:val="single" w:sz="4" w:space="0" w:color="auto"/>
              <w:right w:val="single" w:sz="4" w:space="0" w:color="auto"/>
            </w:tcBorders>
            <w:shd w:val="clear" w:color="auto" w:fill="auto"/>
            <w:noWrap/>
            <w:vAlign w:val="center"/>
          </w:tcPr>
          <w:p w14:paraId="399A7D6D" w14:textId="6B2950BD"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60</w:t>
            </w:r>
            <w:r w:rsidR="00915AF6">
              <w:t xml:space="preserve"> </w:t>
            </w:r>
            <w:r w:rsidRPr="008C0D1D">
              <w:t>%</w:t>
            </w:r>
          </w:p>
        </w:tc>
      </w:tr>
      <w:tr w:rsidR="00FA1895" w:rsidRPr="00CD3F5E" w14:paraId="2E1FACD5"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C81D2" w14:textId="616FDDB8"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CD – Makromolekulární</w:t>
            </w:r>
            <w:r w:rsidR="00FA1895" w:rsidRPr="002929FC">
              <w:t xml:space="preserve"> chemie</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C8D2C82" w14:textId="1C55DCA2"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13</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F13B30" w14:textId="5F88CC09"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233</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78709D" w14:textId="1E086DAF"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17,9</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284F826" w14:textId="44648214"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150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2309DB9" w14:textId="2B0B4A23"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64</w:t>
            </w:r>
            <w:r w:rsidR="00915AF6">
              <w:t xml:space="preserve"> </w:t>
            </w:r>
            <w:r w:rsidRPr="008C0D1D">
              <w:t>%</w:t>
            </w:r>
          </w:p>
        </w:tc>
      </w:tr>
      <w:tr w:rsidR="00FA1895" w:rsidRPr="00CD3F5E" w14:paraId="33E6A7D9"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D3BCD" w14:textId="7365C609"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JG – Hutnictví</w:t>
            </w:r>
            <w:r w:rsidR="00FA1895" w:rsidRPr="002929FC">
              <w:t>, kovové materiály</w:t>
            </w:r>
          </w:p>
        </w:tc>
        <w:tc>
          <w:tcPr>
            <w:tcW w:w="709" w:type="dxa"/>
            <w:tcBorders>
              <w:top w:val="nil"/>
              <w:left w:val="nil"/>
              <w:bottom w:val="single" w:sz="4" w:space="0" w:color="auto"/>
              <w:right w:val="single" w:sz="4" w:space="0" w:color="auto"/>
            </w:tcBorders>
            <w:shd w:val="clear" w:color="auto" w:fill="auto"/>
            <w:noWrap/>
            <w:vAlign w:val="center"/>
          </w:tcPr>
          <w:p w14:paraId="46ABD089" w14:textId="4050DE73"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11</w:t>
            </w:r>
          </w:p>
        </w:tc>
        <w:tc>
          <w:tcPr>
            <w:tcW w:w="1134" w:type="dxa"/>
            <w:tcBorders>
              <w:top w:val="nil"/>
              <w:left w:val="nil"/>
              <w:bottom w:val="single" w:sz="4" w:space="0" w:color="auto"/>
              <w:right w:val="single" w:sz="4" w:space="0" w:color="auto"/>
            </w:tcBorders>
            <w:shd w:val="clear" w:color="auto" w:fill="auto"/>
            <w:noWrap/>
            <w:vAlign w:val="center"/>
          </w:tcPr>
          <w:p w14:paraId="486BDFED" w14:textId="2FD879E1"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271</w:t>
            </w:r>
          </w:p>
        </w:tc>
        <w:tc>
          <w:tcPr>
            <w:tcW w:w="1134" w:type="dxa"/>
            <w:tcBorders>
              <w:top w:val="nil"/>
              <w:left w:val="nil"/>
              <w:bottom w:val="single" w:sz="4" w:space="0" w:color="auto"/>
              <w:right w:val="single" w:sz="4" w:space="0" w:color="auto"/>
            </w:tcBorders>
            <w:shd w:val="clear" w:color="auto" w:fill="auto"/>
            <w:noWrap/>
            <w:vAlign w:val="center"/>
          </w:tcPr>
          <w:p w14:paraId="6D7A5DDD" w14:textId="1EC8671C"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24,6</w:t>
            </w:r>
          </w:p>
        </w:tc>
        <w:tc>
          <w:tcPr>
            <w:tcW w:w="1081" w:type="dxa"/>
            <w:tcBorders>
              <w:top w:val="nil"/>
              <w:left w:val="nil"/>
              <w:bottom w:val="single" w:sz="4" w:space="0" w:color="auto"/>
              <w:right w:val="single" w:sz="4" w:space="0" w:color="auto"/>
            </w:tcBorders>
            <w:shd w:val="clear" w:color="auto" w:fill="auto"/>
            <w:noWrap/>
            <w:vAlign w:val="center"/>
          </w:tcPr>
          <w:p w14:paraId="0A6FCE2A" w14:textId="092863C2"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183</w:t>
            </w:r>
          </w:p>
        </w:tc>
        <w:tc>
          <w:tcPr>
            <w:tcW w:w="992" w:type="dxa"/>
            <w:tcBorders>
              <w:top w:val="nil"/>
              <w:left w:val="nil"/>
              <w:bottom w:val="single" w:sz="4" w:space="0" w:color="auto"/>
              <w:right w:val="single" w:sz="4" w:space="0" w:color="auto"/>
            </w:tcBorders>
            <w:shd w:val="clear" w:color="auto" w:fill="auto"/>
            <w:noWrap/>
            <w:vAlign w:val="center"/>
          </w:tcPr>
          <w:p w14:paraId="7E44E3DE" w14:textId="6B27F4B5"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68</w:t>
            </w:r>
            <w:r w:rsidR="00915AF6">
              <w:t xml:space="preserve"> </w:t>
            </w:r>
            <w:r w:rsidRPr="008C0D1D">
              <w:t>%</w:t>
            </w:r>
          </w:p>
        </w:tc>
      </w:tr>
      <w:tr w:rsidR="00FA1895" w:rsidRPr="00CD3F5E" w14:paraId="450556A9" w14:textId="77777777" w:rsidTr="00C4183E">
        <w:trPr>
          <w:trHeight w:val="34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B78C0" w14:textId="07AA89D4" w:rsidR="00FA1895" w:rsidRPr="00CD3F5E" w:rsidRDefault="00915AF6" w:rsidP="00915AF6">
            <w:pPr>
              <w:spacing w:after="0" w:line="240" w:lineRule="auto"/>
              <w:rPr>
                <w:rFonts w:ascii="Calibri" w:eastAsia="Times New Roman" w:hAnsi="Calibri" w:cs="Times New Roman"/>
                <w:color w:val="000000"/>
                <w:szCs w:val="20"/>
                <w:lang w:eastAsia="cs-CZ"/>
              </w:rPr>
            </w:pPr>
            <w:r w:rsidRPr="002929FC">
              <w:t>JH – Keramika</w:t>
            </w:r>
            <w:r w:rsidR="00FA1895" w:rsidRPr="002929FC">
              <w:t>, žáruvzdorné materiály a skla</w:t>
            </w:r>
          </w:p>
        </w:tc>
        <w:tc>
          <w:tcPr>
            <w:tcW w:w="709" w:type="dxa"/>
            <w:tcBorders>
              <w:top w:val="nil"/>
              <w:left w:val="nil"/>
              <w:bottom w:val="single" w:sz="4" w:space="0" w:color="auto"/>
              <w:right w:val="single" w:sz="4" w:space="0" w:color="auto"/>
            </w:tcBorders>
            <w:shd w:val="clear" w:color="auto" w:fill="auto"/>
            <w:noWrap/>
            <w:vAlign w:val="center"/>
          </w:tcPr>
          <w:p w14:paraId="15741A12" w14:textId="3FCB62A2" w:rsidR="00FA1895" w:rsidRPr="00CD3F5E" w:rsidRDefault="00FA1895" w:rsidP="00915AF6">
            <w:pPr>
              <w:spacing w:after="0" w:line="240" w:lineRule="auto"/>
              <w:jc w:val="right"/>
              <w:rPr>
                <w:rFonts w:ascii="Calibri" w:eastAsia="Times New Roman" w:hAnsi="Calibri" w:cs="Times New Roman"/>
                <w:color w:val="000000"/>
                <w:lang w:eastAsia="cs-CZ"/>
              </w:rPr>
            </w:pPr>
            <w:r w:rsidRPr="002929FC">
              <w:t>10</w:t>
            </w:r>
          </w:p>
        </w:tc>
        <w:tc>
          <w:tcPr>
            <w:tcW w:w="1134" w:type="dxa"/>
            <w:tcBorders>
              <w:top w:val="nil"/>
              <w:left w:val="nil"/>
              <w:bottom w:val="single" w:sz="4" w:space="0" w:color="auto"/>
              <w:right w:val="single" w:sz="4" w:space="0" w:color="auto"/>
            </w:tcBorders>
            <w:shd w:val="clear" w:color="auto" w:fill="auto"/>
            <w:noWrap/>
            <w:vAlign w:val="center"/>
          </w:tcPr>
          <w:p w14:paraId="2218E07C" w14:textId="0C03E755"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199</w:t>
            </w:r>
          </w:p>
        </w:tc>
        <w:tc>
          <w:tcPr>
            <w:tcW w:w="1134" w:type="dxa"/>
            <w:tcBorders>
              <w:top w:val="nil"/>
              <w:left w:val="nil"/>
              <w:bottom w:val="single" w:sz="4" w:space="0" w:color="auto"/>
              <w:right w:val="single" w:sz="4" w:space="0" w:color="auto"/>
            </w:tcBorders>
            <w:shd w:val="clear" w:color="auto" w:fill="auto"/>
            <w:noWrap/>
            <w:vAlign w:val="center"/>
          </w:tcPr>
          <w:p w14:paraId="2F68B483" w14:textId="0CCE628D"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19,9</w:t>
            </w:r>
          </w:p>
        </w:tc>
        <w:tc>
          <w:tcPr>
            <w:tcW w:w="1081" w:type="dxa"/>
            <w:tcBorders>
              <w:top w:val="nil"/>
              <w:left w:val="nil"/>
              <w:bottom w:val="single" w:sz="4" w:space="0" w:color="auto"/>
              <w:right w:val="single" w:sz="4" w:space="0" w:color="auto"/>
            </w:tcBorders>
            <w:shd w:val="clear" w:color="auto" w:fill="auto"/>
            <w:noWrap/>
            <w:vAlign w:val="center"/>
          </w:tcPr>
          <w:p w14:paraId="5EE1D9A8" w14:textId="64A77750"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132</w:t>
            </w:r>
          </w:p>
        </w:tc>
        <w:tc>
          <w:tcPr>
            <w:tcW w:w="992" w:type="dxa"/>
            <w:tcBorders>
              <w:top w:val="nil"/>
              <w:left w:val="nil"/>
              <w:bottom w:val="single" w:sz="4" w:space="0" w:color="auto"/>
              <w:right w:val="single" w:sz="4" w:space="0" w:color="auto"/>
            </w:tcBorders>
            <w:shd w:val="clear" w:color="auto" w:fill="auto"/>
            <w:noWrap/>
            <w:vAlign w:val="center"/>
          </w:tcPr>
          <w:p w14:paraId="1967FA98" w14:textId="76E3B558" w:rsidR="00FA1895" w:rsidRPr="00CD3F5E" w:rsidRDefault="00FA1895" w:rsidP="00915AF6">
            <w:pPr>
              <w:spacing w:after="0" w:line="240" w:lineRule="auto"/>
              <w:jc w:val="right"/>
              <w:rPr>
                <w:rFonts w:ascii="Calibri" w:eastAsia="Times New Roman" w:hAnsi="Calibri" w:cs="Times New Roman"/>
                <w:color w:val="000000"/>
                <w:lang w:eastAsia="cs-CZ"/>
              </w:rPr>
            </w:pPr>
            <w:r w:rsidRPr="008C0D1D">
              <w:t>66</w:t>
            </w:r>
            <w:r w:rsidR="00915AF6">
              <w:t xml:space="preserve"> </w:t>
            </w:r>
            <w:r w:rsidRPr="008C0D1D">
              <w:t>%</w:t>
            </w:r>
          </w:p>
        </w:tc>
      </w:tr>
    </w:tbl>
    <w:p w14:paraId="0CDBABC3" w14:textId="6CDA4BBF" w:rsidR="0005085A" w:rsidRPr="00771654" w:rsidRDefault="004D6684" w:rsidP="00915AF6">
      <w:pPr>
        <w:spacing w:before="240" w:after="120"/>
        <w:jc w:val="both"/>
      </w:pPr>
      <w:r w:rsidRPr="008941A6">
        <w:t>V</w:t>
      </w:r>
      <w:r w:rsidR="00915AF6">
        <w:t xml:space="preserve"> další </w:t>
      </w:r>
      <w:r w:rsidRPr="008941A6">
        <w:t>tabulce</w:t>
      </w:r>
      <w:r w:rsidR="00915AF6">
        <w:t xml:space="preserve"> </w:t>
      </w:r>
      <w:r>
        <w:t xml:space="preserve">je uvedeno rozdělení projektů </w:t>
      </w:r>
      <w:r w:rsidR="00D67347">
        <w:t>po</w:t>
      </w:r>
      <w:r>
        <w:t xml:space="preserve">dle </w:t>
      </w:r>
      <w:r w:rsidR="00915AF6">
        <w:t xml:space="preserve">klíčových technologií </w:t>
      </w:r>
      <w:r>
        <w:t>KETs</w:t>
      </w:r>
      <w:r w:rsidR="00915AF6">
        <w:t>, které je však s ohledem na změny kategorií či jejich slučování v průběhu realizace Programu spíše jen orientační</w:t>
      </w:r>
      <w:r>
        <w:t>. V</w:t>
      </w:r>
      <w:r w:rsidR="00CE7C79">
        <w:t> </w:t>
      </w:r>
      <w:r>
        <w:t xml:space="preserve">Programu jsou </w:t>
      </w:r>
      <w:r w:rsidR="00915AF6">
        <w:t xml:space="preserve">zdaleka </w:t>
      </w:r>
      <w:r>
        <w:t xml:space="preserve">nejvíce podporovány projekty zaměřené na </w:t>
      </w:r>
      <w:r w:rsidR="00915AF6">
        <w:t xml:space="preserve">poměrně obecně vnímanou a hodnocenou oblast </w:t>
      </w:r>
      <w:r>
        <w:t>Pokročilé výrobní technologie</w:t>
      </w:r>
      <w:r w:rsidR="00915AF6">
        <w:t>, kam jsou zařazovány projekty z širokého spektra jak výzkumných, tak</w:t>
      </w:r>
      <w:r w:rsidR="002342AB">
        <w:t> </w:t>
      </w:r>
      <w:r w:rsidR="00915AF6">
        <w:t>aplikačních oblastí. Významný nárůst pak zaznamenává počet projektů zaměřených na umělou inteligenci.</w:t>
      </w:r>
    </w:p>
    <w:p w14:paraId="1F3E8DC1" w14:textId="3DE2BD0E" w:rsidR="00DB3682" w:rsidRPr="00771654" w:rsidRDefault="00A7392F" w:rsidP="00A7392F">
      <w:pPr>
        <w:pStyle w:val="Titulek"/>
      </w:pPr>
      <w:bookmarkStart w:id="37" w:name="_Toc185334581"/>
      <w:r w:rsidRPr="00801879">
        <w:lastRenderedPageBreak/>
        <w:t xml:space="preserve">Tabulka </w:t>
      </w:r>
      <w:fldSimple w:instr=" SEQ Tabulka \* ARABIC ">
        <w:r w:rsidR="00353407">
          <w:rPr>
            <w:noProof/>
          </w:rPr>
          <w:t>14</w:t>
        </w:r>
      </w:fldSimple>
      <w:r w:rsidRPr="00801879">
        <w:t>:</w:t>
      </w:r>
      <w:r w:rsidR="00DB3682" w:rsidRPr="0087536B">
        <w:t xml:space="preserve"> </w:t>
      </w:r>
      <w:r w:rsidR="00C4183E">
        <w:t xml:space="preserve">Podpořené projekty </w:t>
      </w:r>
      <w:r w:rsidR="00DB3682" w:rsidRPr="0087536B">
        <w:t>podle KETs</w:t>
      </w:r>
      <w:bookmarkEnd w:id="3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3"/>
        <w:gridCol w:w="992"/>
        <w:gridCol w:w="1204"/>
        <w:gridCol w:w="1205"/>
        <w:gridCol w:w="1205"/>
        <w:gridCol w:w="1205"/>
      </w:tblGrid>
      <w:tr w:rsidR="00DB3682" w:rsidRPr="0005085A" w14:paraId="2205B0D6" w14:textId="77777777" w:rsidTr="00917587">
        <w:trPr>
          <w:trHeight w:val="993"/>
        </w:trPr>
        <w:tc>
          <w:tcPr>
            <w:tcW w:w="3823" w:type="dxa"/>
            <w:shd w:val="clear" w:color="auto" w:fill="B9E0F7" w:themeFill="accent5"/>
            <w:vAlign w:val="center"/>
            <w:hideMark/>
          </w:tcPr>
          <w:p w14:paraId="122549AE" w14:textId="77777777"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Hlavní oblast KETs</w:t>
            </w:r>
          </w:p>
        </w:tc>
        <w:tc>
          <w:tcPr>
            <w:tcW w:w="992" w:type="dxa"/>
            <w:shd w:val="clear" w:color="auto" w:fill="B9E0F7" w:themeFill="accent5"/>
            <w:vAlign w:val="center"/>
            <w:hideMark/>
          </w:tcPr>
          <w:p w14:paraId="3B884BB0" w14:textId="77777777"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 xml:space="preserve">Počet </w:t>
            </w:r>
            <w:r w:rsidRPr="0005085A">
              <w:rPr>
                <w:rFonts w:ascii="Calibri" w:eastAsia="Times New Roman" w:hAnsi="Calibri" w:cs="Times New Roman"/>
                <w:color w:val="000000"/>
                <w:lang w:eastAsia="cs-CZ"/>
              </w:rPr>
              <w:br/>
              <w:t>projektů</w:t>
            </w:r>
          </w:p>
        </w:tc>
        <w:tc>
          <w:tcPr>
            <w:tcW w:w="1204" w:type="dxa"/>
            <w:shd w:val="clear" w:color="auto" w:fill="B9E0F7" w:themeFill="accent5"/>
            <w:vAlign w:val="center"/>
            <w:hideMark/>
          </w:tcPr>
          <w:p w14:paraId="76CC709B" w14:textId="77777777"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Celkové náklady</w:t>
            </w:r>
            <w:r w:rsidRPr="0005085A">
              <w:rPr>
                <w:rFonts w:ascii="Calibri" w:eastAsia="Times New Roman" w:hAnsi="Calibri" w:cs="Times New Roman"/>
                <w:color w:val="000000"/>
                <w:lang w:eastAsia="cs-CZ"/>
              </w:rPr>
              <w:br/>
              <w:t>(mil. Kč)</w:t>
            </w:r>
          </w:p>
        </w:tc>
        <w:tc>
          <w:tcPr>
            <w:tcW w:w="1205" w:type="dxa"/>
            <w:shd w:val="clear" w:color="auto" w:fill="B9E0F7" w:themeFill="accent5"/>
            <w:vAlign w:val="center"/>
            <w:hideMark/>
          </w:tcPr>
          <w:p w14:paraId="1C08EA10" w14:textId="20B0A8B3"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Průměrné náklady</w:t>
            </w:r>
            <w:r w:rsidRPr="0005085A">
              <w:rPr>
                <w:rFonts w:ascii="Calibri" w:eastAsia="Times New Roman" w:hAnsi="Calibri" w:cs="Times New Roman"/>
                <w:color w:val="000000"/>
                <w:lang w:eastAsia="cs-CZ"/>
              </w:rPr>
              <w:br/>
              <w:t xml:space="preserve"> na projekt (mil. Kč)</w:t>
            </w:r>
          </w:p>
        </w:tc>
        <w:tc>
          <w:tcPr>
            <w:tcW w:w="1205" w:type="dxa"/>
            <w:shd w:val="clear" w:color="auto" w:fill="B9E0F7" w:themeFill="accent5"/>
            <w:vAlign w:val="center"/>
            <w:hideMark/>
          </w:tcPr>
          <w:p w14:paraId="1D08361D" w14:textId="77777777"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 xml:space="preserve">Veřejná podpora </w:t>
            </w:r>
            <w:r w:rsidRPr="0005085A">
              <w:rPr>
                <w:rFonts w:ascii="Calibri" w:eastAsia="Times New Roman" w:hAnsi="Calibri" w:cs="Times New Roman"/>
                <w:color w:val="000000"/>
                <w:lang w:eastAsia="cs-CZ"/>
              </w:rPr>
              <w:br/>
              <w:t>(mil. Kč)</w:t>
            </w:r>
          </w:p>
        </w:tc>
        <w:tc>
          <w:tcPr>
            <w:tcW w:w="1205" w:type="dxa"/>
            <w:shd w:val="clear" w:color="auto" w:fill="B9E0F7" w:themeFill="accent5"/>
            <w:vAlign w:val="center"/>
            <w:hideMark/>
          </w:tcPr>
          <w:p w14:paraId="5F10C941" w14:textId="77777777" w:rsidR="00DB3682" w:rsidRPr="0005085A" w:rsidRDefault="00DB3682" w:rsidP="006D16C9">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Intenzita podpory</w:t>
            </w:r>
          </w:p>
        </w:tc>
      </w:tr>
      <w:tr w:rsidR="0087536B" w:rsidRPr="00B65BF1" w14:paraId="6E558A01" w14:textId="77777777" w:rsidTr="00917587">
        <w:trPr>
          <w:trHeight w:val="397"/>
        </w:trPr>
        <w:tc>
          <w:tcPr>
            <w:tcW w:w="3823" w:type="dxa"/>
            <w:shd w:val="clear" w:color="auto" w:fill="auto"/>
            <w:noWrap/>
            <w:vAlign w:val="center"/>
          </w:tcPr>
          <w:p w14:paraId="4F5DBCA3" w14:textId="2A309A26" w:rsidR="0087536B" w:rsidRPr="00B65BF1" w:rsidRDefault="0087536B" w:rsidP="00917587">
            <w:pPr>
              <w:spacing w:after="0" w:line="240" w:lineRule="auto"/>
              <w:rPr>
                <w:rFonts w:ascii="Calibri" w:eastAsia="Times New Roman" w:hAnsi="Calibri" w:cs="Times New Roman"/>
                <w:color w:val="000000"/>
                <w:lang w:eastAsia="cs-CZ"/>
              </w:rPr>
            </w:pPr>
            <w:r w:rsidRPr="00C52DD7">
              <w:t>Pokročilé výrobní technologie, pokročilé materiály a nanotechnologie</w:t>
            </w:r>
          </w:p>
        </w:tc>
        <w:tc>
          <w:tcPr>
            <w:tcW w:w="992" w:type="dxa"/>
            <w:shd w:val="clear" w:color="auto" w:fill="auto"/>
            <w:noWrap/>
            <w:vAlign w:val="center"/>
          </w:tcPr>
          <w:p w14:paraId="5A1A8A36" w14:textId="189B7D69"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421</w:t>
            </w:r>
          </w:p>
        </w:tc>
        <w:tc>
          <w:tcPr>
            <w:tcW w:w="1204" w:type="dxa"/>
            <w:shd w:val="clear" w:color="auto" w:fill="auto"/>
            <w:noWrap/>
            <w:vAlign w:val="center"/>
          </w:tcPr>
          <w:p w14:paraId="47352105" w14:textId="0F004A0A"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10 466</w:t>
            </w:r>
          </w:p>
        </w:tc>
        <w:tc>
          <w:tcPr>
            <w:tcW w:w="1205" w:type="dxa"/>
            <w:shd w:val="clear" w:color="auto" w:fill="auto"/>
            <w:noWrap/>
            <w:vAlign w:val="center"/>
          </w:tcPr>
          <w:p w14:paraId="5C4089C4" w14:textId="3DEFAD1F"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25</w:t>
            </w:r>
          </w:p>
        </w:tc>
        <w:tc>
          <w:tcPr>
            <w:tcW w:w="1205" w:type="dxa"/>
            <w:shd w:val="clear" w:color="auto" w:fill="auto"/>
            <w:noWrap/>
            <w:vAlign w:val="center"/>
          </w:tcPr>
          <w:p w14:paraId="32F212F3" w14:textId="2F64782C"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6 773</w:t>
            </w:r>
          </w:p>
        </w:tc>
        <w:tc>
          <w:tcPr>
            <w:tcW w:w="1205" w:type="dxa"/>
            <w:shd w:val="clear" w:color="auto" w:fill="auto"/>
            <w:noWrap/>
            <w:vAlign w:val="center"/>
          </w:tcPr>
          <w:p w14:paraId="0BCDB997" w14:textId="34449F96"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68</w:t>
            </w:r>
            <w:r w:rsidR="00917587">
              <w:t xml:space="preserve"> </w:t>
            </w:r>
            <w:r w:rsidRPr="00C52DD7">
              <w:t>%</w:t>
            </w:r>
          </w:p>
        </w:tc>
      </w:tr>
      <w:tr w:rsidR="0087536B" w:rsidRPr="00B65BF1" w14:paraId="7FC90397" w14:textId="77777777" w:rsidTr="00917587">
        <w:trPr>
          <w:trHeight w:val="397"/>
        </w:trPr>
        <w:tc>
          <w:tcPr>
            <w:tcW w:w="3823" w:type="dxa"/>
            <w:shd w:val="clear" w:color="auto" w:fill="auto"/>
            <w:noWrap/>
            <w:vAlign w:val="center"/>
          </w:tcPr>
          <w:p w14:paraId="629C3263" w14:textId="219351A0" w:rsidR="0087536B" w:rsidRPr="00B65BF1" w:rsidRDefault="0087536B" w:rsidP="00917587">
            <w:pPr>
              <w:spacing w:after="0" w:line="240" w:lineRule="auto"/>
              <w:rPr>
                <w:rFonts w:ascii="Calibri" w:eastAsia="Times New Roman" w:hAnsi="Calibri" w:cs="Times New Roman"/>
                <w:color w:val="000000"/>
                <w:lang w:eastAsia="cs-CZ"/>
              </w:rPr>
            </w:pPr>
            <w:r w:rsidRPr="00C52DD7">
              <w:t>Umělá inteligence</w:t>
            </w:r>
          </w:p>
        </w:tc>
        <w:tc>
          <w:tcPr>
            <w:tcW w:w="992" w:type="dxa"/>
            <w:shd w:val="clear" w:color="auto" w:fill="auto"/>
            <w:noWrap/>
            <w:vAlign w:val="center"/>
          </w:tcPr>
          <w:p w14:paraId="1D45DAB5" w14:textId="15AAC15C"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9</w:t>
            </w:r>
            <w:r w:rsidR="006709F5">
              <w:t>1</w:t>
            </w:r>
          </w:p>
        </w:tc>
        <w:tc>
          <w:tcPr>
            <w:tcW w:w="1204" w:type="dxa"/>
            <w:shd w:val="clear" w:color="auto" w:fill="auto"/>
            <w:noWrap/>
            <w:vAlign w:val="center"/>
          </w:tcPr>
          <w:p w14:paraId="1BE403F5" w14:textId="52C89EEB"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 xml:space="preserve">1 </w:t>
            </w:r>
            <w:r w:rsidR="003F4974" w:rsidRPr="00C52DD7">
              <w:t>8</w:t>
            </w:r>
            <w:r w:rsidR="003F4974">
              <w:t>32</w:t>
            </w:r>
          </w:p>
        </w:tc>
        <w:tc>
          <w:tcPr>
            <w:tcW w:w="1205" w:type="dxa"/>
            <w:shd w:val="clear" w:color="auto" w:fill="auto"/>
            <w:noWrap/>
            <w:vAlign w:val="center"/>
          </w:tcPr>
          <w:p w14:paraId="15789C4F" w14:textId="5F898ACA"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20</w:t>
            </w:r>
          </w:p>
        </w:tc>
        <w:tc>
          <w:tcPr>
            <w:tcW w:w="1205" w:type="dxa"/>
            <w:shd w:val="clear" w:color="auto" w:fill="auto"/>
            <w:noWrap/>
            <w:vAlign w:val="center"/>
          </w:tcPr>
          <w:p w14:paraId="4F112F0E" w14:textId="7585758F"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 xml:space="preserve">1 </w:t>
            </w:r>
            <w:r w:rsidR="003F4974" w:rsidRPr="00C52DD7">
              <w:t>2</w:t>
            </w:r>
            <w:r w:rsidR="003F4974">
              <w:t>43</w:t>
            </w:r>
          </w:p>
        </w:tc>
        <w:tc>
          <w:tcPr>
            <w:tcW w:w="1205" w:type="dxa"/>
            <w:shd w:val="clear" w:color="auto" w:fill="auto"/>
            <w:noWrap/>
            <w:vAlign w:val="center"/>
          </w:tcPr>
          <w:p w14:paraId="61471A4E" w14:textId="47AB1F0C"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68</w:t>
            </w:r>
            <w:r w:rsidR="00917587">
              <w:t xml:space="preserve"> </w:t>
            </w:r>
            <w:r w:rsidRPr="00C52DD7">
              <w:t>%</w:t>
            </w:r>
          </w:p>
        </w:tc>
      </w:tr>
      <w:tr w:rsidR="0087536B" w:rsidRPr="00B65BF1" w14:paraId="7634E263" w14:textId="77777777" w:rsidTr="00917587">
        <w:trPr>
          <w:trHeight w:val="397"/>
        </w:trPr>
        <w:tc>
          <w:tcPr>
            <w:tcW w:w="3823" w:type="dxa"/>
            <w:shd w:val="clear" w:color="auto" w:fill="auto"/>
            <w:noWrap/>
            <w:vAlign w:val="center"/>
          </w:tcPr>
          <w:p w14:paraId="5D9BAF37" w14:textId="70CD77E6" w:rsidR="0087536B" w:rsidRPr="00B65BF1" w:rsidRDefault="0087536B" w:rsidP="00917587">
            <w:pPr>
              <w:spacing w:after="0" w:line="240" w:lineRule="auto"/>
              <w:rPr>
                <w:rFonts w:ascii="Calibri" w:eastAsia="Times New Roman" w:hAnsi="Calibri" w:cs="Times New Roman"/>
                <w:color w:val="000000"/>
                <w:lang w:eastAsia="cs-CZ"/>
              </w:rPr>
            </w:pPr>
            <w:r w:rsidRPr="00C52DD7">
              <w:t>Fotonika a mikro</w:t>
            </w:r>
            <w:r w:rsidR="002F4C74">
              <w:t>/</w:t>
            </w:r>
            <w:r w:rsidRPr="00C52DD7">
              <w:t>nanoelektronika</w:t>
            </w:r>
          </w:p>
        </w:tc>
        <w:tc>
          <w:tcPr>
            <w:tcW w:w="992" w:type="dxa"/>
            <w:shd w:val="clear" w:color="auto" w:fill="auto"/>
            <w:noWrap/>
            <w:vAlign w:val="center"/>
          </w:tcPr>
          <w:p w14:paraId="389DB875" w14:textId="2B144CDB"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75</w:t>
            </w:r>
          </w:p>
        </w:tc>
        <w:tc>
          <w:tcPr>
            <w:tcW w:w="1204" w:type="dxa"/>
            <w:shd w:val="clear" w:color="auto" w:fill="auto"/>
            <w:noWrap/>
            <w:vAlign w:val="center"/>
          </w:tcPr>
          <w:p w14:paraId="15BA346D" w14:textId="44FE6747"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1 923</w:t>
            </w:r>
          </w:p>
        </w:tc>
        <w:tc>
          <w:tcPr>
            <w:tcW w:w="1205" w:type="dxa"/>
            <w:shd w:val="clear" w:color="auto" w:fill="auto"/>
            <w:noWrap/>
            <w:vAlign w:val="center"/>
          </w:tcPr>
          <w:p w14:paraId="2379FDDC" w14:textId="479D8E29"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26</w:t>
            </w:r>
          </w:p>
        </w:tc>
        <w:tc>
          <w:tcPr>
            <w:tcW w:w="1205" w:type="dxa"/>
            <w:shd w:val="clear" w:color="auto" w:fill="auto"/>
            <w:noWrap/>
            <w:vAlign w:val="center"/>
          </w:tcPr>
          <w:p w14:paraId="1A0CA69C" w14:textId="3FC6D38F"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1 256</w:t>
            </w:r>
          </w:p>
        </w:tc>
        <w:tc>
          <w:tcPr>
            <w:tcW w:w="1205" w:type="dxa"/>
            <w:shd w:val="clear" w:color="auto" w:fill="auto"/>
            <w:noWrap/>
            <w:vAlign w:val="center"/>
          </w:tcPr>
          <w:p w14:paraId="72605F4C" w14:textId="0AD2FC3C"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64</w:t>
            </w:r>
            <w:r w:rsidR="00917587">
              <w:t xml:space="preserve"> </w:t>
            </w:r>
            <w:r w:rsidRPr="00C52DD7">
              <w:t>%</w:t>
            </w:r>
          </w:p>
        </w:tc>
      </w:tr>
      <w:tr w:rsidR="0087536B" w:rsidRPr="00B65BF1" w14:paraId="134AB4EA" w14:textId="77777777" w:rsidTr="00917587">
        <w:trPr>
          <w:trHeight w:val="397"/>
        </w:trPr>
        <w:tc>
          <w:tcPr>
            <w:tcW w:w="3823" w:type="dxa"/>
            <w:shd w:val="clear" w:color="auto" w:fill="auto"/>
            <w:noWrap/>
            <w:vAlign w:val="center"/>
          </w:tcPr>
          <w:p w14:paraId="65DDF2DD" w14:textId="50AC2835" w:rsidR="0087536B" w:rsidRPr="00B65BF1" w:rsidRDefault="0087536B" w:rsidP="00917587">
            <w:pPr>
              <w:spacing w:after="0" w:line="240" w:lineRule="auto"/>
              <w:rPr>
                <w:rFonts w:ascii="Calibri" w:eastAsia="Times New Roman" w:hAnsi="Calibri" w:cs="Times New Roman"/>
                <w:color w:val="000000"/>
                <w:lang w:eastAsia="cs-CZ"/>
              </w:rPr>
            </w:pPr>
            <w:r w:rsidRPr="00C52DD7">
              <w:t>Biotechnologie a průmyslové biotechnologie</w:t>
            </w:r>
          </w:p>
        </w:tc>
        <w:tc>
          <w:tcPr>
            <w:tcW w:w="992" w:type="dxa"/>
            <w:shd w:val="clear" w:color="auto" w:fill="auto"/>
            <w:noWrap/>
            <w:vAlign w:val="center"/>
          </w:tcPr>
          <w:p w14:paraId="0EBAEEB7" w14:textId="538FCD91"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43</w:t>
            </w:r>
          </w:p>
        </w:tc>
        <w:tc>
          <w:tcPr>
            <w:tcW w:w="1204" w:type="dxa"/>
            <w:shd w:val="clear" w:color="auto" w:fill="auto"/>
            <w:noWrap/>
            <w:vAlign w:val="center"/>
          </w:tcPr>
          <w:p w14:paraId="3464A192" w14:textId="5342431B"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1 050</w:t>
            </w:r>
          </w:p>
        </w:tc>
        <w:tc>
          <w:tcPr>
            <w:tcW w:w="1205" w:type="dxa"/>
            <w:shd w:val="clear" w:color="auto" w:fill="auto"/>
            <w:noWrap/>
            <w:vAlign w:val="center"/>
          </w:tcPr>
          <w:p w14:paraId="139735A2" w14:textId="3A543783"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24</w:t>
            </w:r>
          </w:p>
        </w:tc>
        <w:tc>
          <w:tcPr>
            <w:tcW w:w="1205" w:type="dxa"/>
            <w:shd w:val="clear" w:color="auto" w:fill="auto"/>
            <w:noWrap/>
            <w:vAlign w:val="center"/>
          </w:tcPr>
          <w:p w14:paraId="2AF1484B" w14:textId="47B2C4FB"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704</w:t>
            </w:r>
          </w:p>
        </w:tc>
        <w:tc>
          <w:tcPr>
            <w:tcW w:w="1205" w:type="dxa"/>
            <w:shd w:val="clear" w:color="auto" w:fill="auto"/>
            <w:noWrap/>
            <w:vAlign w:val="center"/>
          </w:tcPr>
          <w:p w14:paraId="056F20D1" w14:textId="5B233A59"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67</w:t>
            </w:r>
            <w:r w:rsidR="00917587">
              <w:t xml:space="preserve"> </w:t>
            </w:r>
            <w:r w:rsidRPr="00C52DD7">
              <w:t>%</w:t>
            </w:r>
          </w:p>
        </w:tc>
      </w:tr>
      <w:tr w:rsidR="0087536B" w:rsidRPr="00B65BF1" w14:paraId="5C475AF0" w14:textId="77777777" w:rsidTr="00917587">
        <w:trPr>
          <w:trHeight w:val="397"/>
        </w:trPr>
        <w:tc>
          <w:tcPr>
            <w:tcW w:w="3823" w:type="dxa"/>
            <w:shd w:val="clear" w:color="auto" w:fill="auto"/>
            <w:noWrap/>
            <w:vAlign w:val="center"/>
          </w:tcPr>
          <w:p w14:paraId="340B3752" w14:textId="6B752740" w:rsidR="0087536B" w:rsidRPr="00B65BF1" w:rsidRDefault="0087536B" w:rsidP="00917587">
            <w:pPr>
              <w:spacing w:after="0" w:line="240" w:lineRule="auto"/>
              <w:rPr>
                <w:rFonts w:ascii="Calibri" w:eastAsia="Times New Roman" w:hAnsi="Calibri" w:cs="Times New Roman"/>
                <w:color w:val="000000"/>
                <w:lang w:eastAsia="cs-CZ"/>
              </w:rPr>
            </w:pPr>
            <w:r w:rsidRPr="00C52DD7">
              <w:t>Zabezpečení a konektivita / Digitální bezpečnost a propojenost</w:t>
            </w:r>
          </w:p>
        </w:tc>
        <w:tc>
          <w:tcPr>
            <w:tcW w:w="992" w:type="dxa"/>
            <w:shd w:val="clear" w:color="auto" w:fill="auto"/>
            <w:noWrap/>
            <w:vAlign w:val="center"/>
          </w:tcPr>
          <w:p w14:paraId="2D56151D" w14:textId="4158BB56"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38</w:t>
            </w:r>
          </w:p>
        </w:tc>
        <w:tc>
          <w:tcPr>
            <w:tcW w:w="1204" w:type="dxa"/>
            <w:shd w:val="clear" w:color="auto" w:fill="auto"/>
            <w:noWrap/>
            <w:vAlign w:val="center"/>
          </w:tcPr>
          <w:p w14:paraId="5A74C895" w14:textId="1D287CAC"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738</w:t>
            </w:r>
          </w:p>
        </w:tc>
        <w:tc>
          <w:tcPr>
            <w:tcW w:w="1205" w:type="dxa"/>
            <w:shd w:val="clear" w:color="auto" w:fill="auto"/>
            <w:noWrap/>
            <w:vAlign w:val="center"/>
          </w:tcPr>
          <w:p w14:paraId="4D3FEE2B" w14:textId="7B8DD37E"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19</w:t>
            </w:r>
          </w:p>
        </w:tc>
        <w:tc>
          <w:tcPr>
            <w:tcW w:w="1205" w:type="dxa"/>
            <w:shd w:val="clear" w:color="auto" w:fill="auto"/>
            <w:noWrap/>
            <w:vAlign w:val="center"/>
          </w:tcPr>
          <w:p w14:paraId="28A0D2FF" w14:textId="52D36D39"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475</w:t>
            </w:r>
          </w:p>
        </w:tc>
        <w:tc>
          <w:tcPr>
            <w:tcW w:w="1205" w:type="dxa"/>
            <w:shd w:val="clear" w:color="auto" w:fill="auto"/>
            <w:noWrap/>
            <w:vAlign w:val="center"/>
          </w:tcPr>
          <w:p w14:paraId="3CCB3F47" w14:textId="71825D24" w:rsidR="0087536B" w:rsidRPr="00B65BF1" w:rsidRDefault="0087536B" w:rsidP="00917587">
            <w:pPr>
              <w:spacing w:after="0" w:line="240" w:lineRule="auto"/>
              <w:jc w:val="right"/>
              <w:rPr>
                <w:rFonts w:ascii="Calibri" w:eastAsia="Times New Roman" w:hAnsi="Calibri" w:cs="Times New Roman"/>
                <w:color w:val="000000"/>
                <w:lang w:eastAsia="cs-CZ"/>
              </w:rPr>
            </w:pPr>
            <w:r w:rsidRPr="00C52DD7">
              <w:t>64</w:t>
            </w:r>
            <w:r w:rsidR="00917587">
              <w:t xml:space="preserve"> </w:t>
            </w:r>
            <w:r w:rsidRPr="00C52DD7">
              <w:t>%</w:t>
            </w:r>
          </w:p>
        </w:tc>
      </w:tr>
      <w:tr w:rsidR="0087536B" w:rsidRPr="00B65BF1" w14:paraId="08DED424" w14:textId="77777777" w:rsidTr="00917587">
        <w:trPr>
          <w:trHeight w:val="397"/>
        </w:trPr>
        <w:tc>
          <w:tcPr>
            <w:tcW w:w="3823" w:type="dxa"/>
            <w:shd w:val="clear" w:color="auto" w:fill="auto"/>
            <w:noWrap/>
            <w:vAlign w:val="center"/>
          </w:tcPr>
          <w:p w14:paraId="4FA274EB" w14:textId="6E0348DD" w:rsidR="0087536B" w:rsidRDefault="0087536B" w:rsidP="00917587">
            <w:pPr>
              <w:spacing w:after="0" w:line="240" w:lineRule="auto"/>
              <w:rPr>
                <w:rFonts w:ascii="Calibri" w:hAnsi="Calibri" w:cs="Calibri"/>
                <w:color w:val="000000"/>
              </w:rPr>
            </w:pPr>
            <w:r w:rsidRPr="00C52DD7">
              <w:t>Neuvedeno</w:t>
            </w:r>
          </w:p>
        </w:tc>
        <w:tc>
          <w:tcPr>
            <w:tcW w:w="992" w:type="dxa"/>
            <w:shd w:val="clear" w:color="auto" w:fill="auto"/>
            <w:noWrap/>
            <w:vAlign w:val="center"/>
          </w:tcPr>
          <w:p w14:paraId="266C3B82" w14:textId="5424C85E" w:rsidR="0087536B" w:rsidRDefault="0087536B" w:rsidP="00917587">
            <w:pPr>
              <w:spacing w:after="0" w:line="240" w:lineRule="auto"/>
              <w:jc w:val="right"/>
              <w:rPr>
                <w:rFonts w:ascii="Calibri" w:hAnsi="Calibri" w:cs="Calibri"/>
                <w:color w:val="000000"/>
              </w:rPr>
            </w:pPr>
            <w:r w:rsidRPr="00C52DD7">
              <w:t>2</w:t>
            </w:r>
          </w:p>
        </w:tc>
        <w:tc>
          <w:tcPr>
            <w:tcW w:w="1204" w:type="dxa"/>
            <w:shd w:val="clear" w:color="auto" w:fill="auto"/>
            <w:noWrap/>
            <w:vAlign w:val="center"/>
          </w:tcPr>
          <w:p w14:paraId="21339F6E" w14:textId="6315C10E" w:rsidR="0087536B" w:rsidRDefault="0087536B" w:rsidP="00917587">
            <w:pPr>
              <w:spacing w:after="0" w:line="240" w:lineRule="auto"/>
              <w:jc w:val="right"/>
              <w:rPr>
                <w:rFonts w:ascii="Calibri" w:hAnsi="Calibri" w:cs="Calibri"/>
                <w:color w:val="000000"/>
              </w:rPr>
            </w:pPr>
            <w:r w:rsidRPr="00C52DD7">
              <w:t>19</w:t>
            </w:r>
          </w:p>
        </w:tc>
        <w:tc>
          <w:tcPr>
            <w:tcW w:w="1205" w:type="dxa"/>
            <w:shd w:val="clear" w:color="auto" w:fill="auto"/>
            <w:noWrap/>
            <w:vAlign w:val="center"/>
          </w:tcPr>
          <w:p w14:paraId="5477F116" w14:textId="06127B1F" w:rsidR="0087536B" w:rsidRDefault="0087536B" w:rsidP="00917587">
            <w:pPr>
              <w:spacing w:after="0" w:line="240" w:lineRule="auto"/>
              <w:jc w:val="right"/>
              <w:rPr>
                <w:rFonts w:ascii="Calibri" w:hAnsi="Calibri" w:cs="Calibri"/>
                <w:color w:val="000000"/>
              </w:rPr>
            </w:pPr>
            <w:r w:rsidRPr="00C52DD7">
              <w:t>9</w:t>
            </w:r>
          </w:p>
        </w:tc>
        <w:tc>
          <w:tcPr>
            <w:tcW w:w="1205" w:type="dxa"/>
            <w:shd w:val="clear" w:color="auto" w:fill="auto"/>
            <w:noWrap/>
            <w:vAlign w:val="center"/>
          </w:tcPr>
          <w:p w14:paraId="1868C6B1" w14:textId="323C4ACF" w:rsidR="0087536B" w:rsidRDefault="0087536B" w:rsidP="00917587">
            <w:pPr>
              <w:spacing w:after="0" w:line="240" w:lineRule="auto"/>
              <w:jc w:val="right"/>
              <w:rPr>
                <w:rFonts w:ascii="Calibri" w:hAnsi="Calibri" w:cs="Calibri"/>
                <w:color w:val="000000"/>
              </w:rPr>
            </w:pPr>
            <w:r w:rsidRPr="00C52DD7">
              <w:t>13</w:t>
            </w:r>
          </w:p>
        </w:tc>
        <w:tc>
          <w:tcPr>
            <w:tcW w:w="1205" w:type="dxa"/>
            <w:shd w:val="clear" w:color="auto" w:fill="auto"/>
            <w:noWrap/>
            <w:vAlign w:val="center"/>
          </w:tcPr>
          <w:p w14:paraId="069B24C9" w14:textId="313C351A" w:rsidR="0087536B" w:rsidRDefault="0087536B" w:rsidP="00917587">
            <w:pPr>
              <w:spacing w:after="0" w:line="240" w:lineRule="auto"/>
              <w:jc w:val="right"/>
              <w:rPr>
                <w:rFonts w:ascii="Calibri" w:hAnsi="Calibri" w:cs="Calibri"/>
                <w:color w:val="000000"/>
              </w:rPr>
            </w:pPr>
            <w:r w:rsidRPr="00C52DD7">
              <w:t>57</w:t>
            </w:r>
            <w:r w:rsidR="00917587">
              <w:t xml:space="preserve"> </w:t>
            </w:r>
            <w:r w:rsidRPr="00C52DD7">
              <w:t>%</w:t>
            </w:r>
          </w:p>
        </w:tc>
      </w:tr>
      <w:tr w:rsidR="0087536B" w:rsidRPr="0087536B" w14:paraId="35A32958" w14:textId="77777777" w:rsidTr="00917587">
        <w:trPr>
          <w:trHeight w:val="397"/>
        </w:trPr>
        <w:tc>
          <w:tcPr>
            <w:tcW w:w="3823" w:type="dxa"/>
            <w:shd w:val="clear" w:color="auto" w:fill="auto"/>
            <w:noWrap/>
            <w:vAlign w:val="center"/>
          </w:tcPr>
          <w:p w14:paraId="2CC3A4B2" w14:textId="5FC510B3" w:rsidR="0087536B" w:rsidRPr="0087536B" w:rsidRDefault="0087536B" w:rsidP="00917587">
            <w:pPr>
              <w:spacing w:after="0" w:line="240" w:lineRule="auto"/>
              <w:rPr>
                <w:rFonts w:ascii="Calibri" w:eastAsia="Times New Roman" w:hAnsi="Calibri" w:cs="Times New Roman"/>
                <w:b/>
                <w:bCs/>
                <w:color w:val="000000"/>
                <w:lang w:eastAsia="cs-CZ"/>
              </w:rPr>
            </w:pPr>
            <w:r w:rsidRPr="0087536B">
              <w:rPr>
                <w:b/>
                <w:bCs/>
              </w:rPr>
              <w:t>CELKEM</w:t>
            </w:r>
          </w:p>
        </w:tc>
        <w:tc>
          <w:tcPr>
            <w:tcW w:w="992" w:type="dxa"/>
            <w:shd w:val="clear" w:color="auto" w:fill="auto"/>
            <w:noWrap/>
            <w:vAlign w:val="center"/>
          </w:tcPr>
          <w:p w14:paraId="68921029" w14:textId="1BFBE723" w:rsidR="0087536B" w:rsidRPr="0087536B" w:rsidRDefault="0087536B" w:rsidP="00917587">
            <w:pPr>
              <w:spacing w:after="0" w:line="240" w:lineRule="auto"/>
              <w:jc w:val="right"/>
              <w:rPr>
                <w:rFonts w:ascii="Calibri" w:eastAsia="Times New Roman" w:hAnsi="Calibri" w:cs="Times New Roman"/>
                <w:b/>
                <w:bCs/>
                <w:color w:val="000000"/>
                <w:lang w:eastAsia="cs-CZ"/>
              </w:rPr>
            </w:pPr>
            <w:r w:rsidRPr="0087536B">
              <w:rPr>
                <w:b/>
                <w:bCs/>
              </w:rPr>
              <w:t>67</w:t>
            </w:r>
            <w:r w:rsidR="006709F5">
              <w:rPr>
                <w:b/>
                <w:bCs/>
              </w:rPr>
              <w:t>0</w:t>
            </w:r>
          </w:p>
        </w:tc>
        <w:tc>
          <w:tcPr>
            <w:tcW w:w="1204" w:type="dxa"/>
            <w:shd w:val="clear" w:color="auto" w:fill="auto"/>
            <w:noWrap/>
            <w:vAlign w:val="center"/>
          </w:tcPr>
          <w:p w14:paraId="4682EA62" w14:textId="29DEEAAE" w:rsidR="0087536B" w:rsidRPr="0087536B" w:rsidRDefault="0087536B" w:rsidP="00917587">
            <w:pPr>
              <w:spacing w:after="0" w:line="240" w:lineRule="auto"/>
              <w:jc w:val="right"/>
              <w:rPr>
                <w:rFonts w:ascii="Calibri" w:eastAsia="Times New Roman" w:hAnsi="Calibri" w:cs="Times New Roman"/>
                <w:b/>
                <w:bCs/>
                <w:color w:val="000000"/>
                <w:lang w:eastAsia="cs-CZ"/>
              </w:rPr>
            </w:pPr>
            <w:r w:rsidRPr="0087536B">
              <w:rPr>
                <w:b/>
                <w:bCs/>
              </w:rPr>
              <w:t xml:space="preserve">16 </w:t>
            </w:r>
            <w:r w:rsidR="003F4974" w:rsidRPr="0087536B">
              <w:rPr>
                <w:b/>
                <w:bCs/>
              </w:rPr>
              <w:t>0</w:t>
            </w:r>
            <w:r w:rsidR="003F4974">
              <w:rPr>
                <w:b/>
                <w:bCs/>
              </w:rPr>
              <w:t>28</w:t>
            </w:r>
          </w:p>
        </w:tc>
        <w:tc>
          <w:tcPr>
            <w:tcW w:w="1205" w:type="dxa"/>
            <w:shd w:val="clear" w:color="auto" w:fill="auto"/>
            <w:noWrap/>
            <w:vAlign w:val="center"/>
          </w:tcPr>
          <w:p w14:paraId="27668440" w14:textId="6346DA8D" w:rsidR="0087536B" w:rsidRPr="0087536B" w:rsidRDefault="0087536B" w:rsidP="00917587">
            <w:pPr>
              <w:spacing w:after="0" w:line="240" w:lineRule="auto"/>
              <w:jc w:val="right"/>
              <w:rPr>
                <w:rFonts w:ascii="Calibri" w:eastAsia="Times New Roman" w:hAnsi="Calibri" w:cs="Times New Roman"/>
                <w:b/>
                <w:bCs/>
                <w:color w:val="000000"/>
                <w:lang w:eastAsia="cs-CZ"/>
              </w:rPr>
            </w:pPr>
            <w:r w:rsidRPr="0087536B">
              <w:rPr>
                <w:b/>
                <w:bCs/>
              </w:rPr>
              <w:t>24</w:t>
            </w:r>
          </w:p>
        </w:tc>
        <w:tc>
          <w:tcPr>
            <w:tcW w:w="1205" w:type="dxa"/>
            <w:shd w:val="clear" w:color="auto" w:fill="auto"/>
            <w:noWrap/>
            <w:vAlign w:val="center"/>
          </w:tcPr>
          <w:p w14:paraId="22EC4C24" w14:textId="67DDDB31" w:rsidR="0087536B" w:rsidRPr="0087536B" w:rsidRDefault="0087536B" w:rsidP="00917587">
            <w:pPr>
              <w:spacing w:after="0" w:line="240" w:lineRule="auto"/>
              <w:jc w:val="right"/>
              <w:rPr>
                <w:rFonts w:ascii="Calibri" w:eastAsia="Times New Roman" w:hAnsi="Calibri" w:cs="Times New Roman"/>
                <w:b/>
                <w:bCs/>
                <w:color w:val="000000"/>
                <w:lang w:eastAsia="cs-CZ"/>
              </w:rPr>
            </w:pPr>
            <w:r w:rsidRPr="0087536B">
              <w:rPr>
                <w:b/>
                <w:bCs/>
              </w:rPr>
              <w:t xml:space="preserve">10 </w:t>
            </w:r>
            <w:r w:rsidR="003F4974" w:rsidRPr="0087536B">
              <w:rPr>
                <w:b/>
                <w:bCs/>
              </w:rPr>
              <w:t>4</w:t>
            </w:r>
            <w:r w:rsidR="003F4974">
              <w:rPr>
                <w:b/>
                <w:bCs/>
              </w:rPr>
              <w:t>64</w:t>
            </w:r>
          </w:p>
        </w:tc>
        <w:tc>
          <w:tcPr>
            <w:tcW w:w="1205" w:type="dxa"/>
            <w:shd w:val="clear" w:color="auto" w:fill="auto"/>
            <w:noWrap/>
            <w:vAlign w:val="center"/>
          </w:tcPr>
          <w:p w14:paraId="5E31C017" w14:textId="6DCDE635" w:rsidR="0087536B" w:rsidRPr="0087536B" w:rsidRDefault="0087536B" w:rsidP="00917587">
            <w:pPr>
              <w:spacing w:after="0" w:line="240" w:lineRule="auto"/>
              <w:jc w:val="right"/>
              <w:rPr>
                <w:rFonts w:ascii="Calibri" w:eastAsia="Times New Roman" w:hAnsi="Calibri" w:cs="Times New Roman"/>
                <w:b/>
                <w:bCs/>
                <w:color w:val="000000"/>
                <w:lang w:eastAsia="cs-CZ"/>
              </w:rPr>
            </w:pPr>
            <w:r w:rsidRPr="0087536B">
              <w:rPr>
                <w:b/>
                <w:bCs/>
              </w:rPr>
              <w:t>65</w:t>
            </w:r>
            <w:r w:rsidR="00917587">
              <w:rPr>
                <w:b/>
                <w:bCs/>
              </w:rPr>
              <w:t xml:space="preserve"> </w:t>
            </w:r>
            <w:r w:rsidRPr="0087536B">
              <w:rPr>
                <w:b/>
                <w:bCs/>
              </w:rPr>
              <w:t>%</w:t>
            </w:r>
          </w:p>
        </w:tc>
      </w:tr>
    </w:tbl>
    <w:p w14:paraId="22EBEDAF" w14:textId="432FB4E3" w:rsidR="007421C4" w:rsidRPr="00E91E48" w:rsidRDefault="007421C4" w:rsidP="0042658C">
      <w:pPr>
        <w:spacing w:before="240" w:after="120"/>
        <w:jc w:val="both"/>
      </w:pPr>
      <w:r w:rsidRPr="00E91E48">
        <w:t xml:space="preserve">Na základě rozdělení dle klasifikace ekonomických činností (CZ-NACE) </w:t>
      </w:r>
      <w:r w:rsidR="00E91E48" w:rsidRPr="00E91E48">
        <w:t xml:space="preserve">se zdaleka </w:t>
      </w:r>
      <w:r w:rsidRPr="00E91E48">
        <w:t>nejvíce projektů řadí do</w:t>
      </w:r>
      <w:r w:rsidR="00E91E48" w:rsidRPr="00E91E48">
        <w:t> </w:t>
      </w:r>
      <w:r w:rsidRPr="00E91E48">
        <w:t xml:space="preserve">kategorie Zpracovatelský průmysl. Vedle zpracovatelského průmyslu </w:t>
      </w:r>
      <w:r w:rsidR="00E91E48" w:rsidRPr="00E91E48">
        <w:t xml:space="preserve">jsou významně zastoupeny také Informační a komunikační činnosti </w:t>
      </w:r>
      <w:r w:rsidR="00E91E48">
        <w:t>a</w:t>
      </w:r>
      <w:r w:rsidRPr="00E91E48">
        <w:t xml:space="preserve"> dál</w:t>
      </w:r>
      <w:r w:rsidR="002D08D5" w:rsidRPr="00E91E48">
        <w:t>e</w:t>
      </w:r>
      <w:r w:rsidRPr="00E91E48">
        <w:t xml:space="preserve"> </w:t>
      </w:r>
      <w:r w:rsidR="00E91E48">
        <w:t xml:space="preserve">se </w:t>
      </w:r>
      <w:r w:rsidRPr="00E91E48">
        <w:t xml:space="preserve">objevují oblasti stavebnictví, </w:t>
      </w:r>
      <w:r w:rsidR="00E91E48" w:rsidRPr="00E91E48">
        <w:t>zásobování vodou (kde jde o</w:t>
      </w:r>
      <w:r w:rsidR="00E91E48">
        <w:t> </w:t>
      </w:r>
      <w:r w:rsidR="00E91E48" w:rsidRPr="00E91E48">
        <w:t>projekty v oblasti čistírenských a dalších technologií) či zdravotní péče (kde se jedná nejčastěji o</w:t>
      </w:r>
      <w:r w:rsidR="00E91E48">
        <w:t> </w:t>
      </w:r>
      <w:r w:rsidR="00E91E48" w:rsidRPr="00E91E48">
        <w:t>zdravotnické prostředky)</w:t>
      </w:r>
      <w:r w:rsidRPr="00E91E48">
        <w:t>.</w:t>
      </w:r>
    </w:p>
    <w:p w14:paraId="262D2BA5" w14:textId="0301D062" w:rsidR="00B62838" w:rsidRDefault="00B62838" w:rsidP="00A7392F">
      <w:pPr>
        <w:pStyle w:val="Titulek"/>
      </w:pPr>
      <w:bookmarkStart w:id="38" w:name="_Toc185334582"/>
      <w:bookmarkStart w:id="39" w:name="_Toc150180771"/>
      <w:r w:rsidRPr="00801879">
        <w:t xml:space="preserve">Tabulka </w:t>
      </w:r>
      <w:fldSimple w:instr=" SEQ Tabulka \* ARABIC ">
        <w:r w:rsidR="00353407">
          <w:rPr>
            <w:noProof/>
          </w:rPr>
          <w:t>15</w:t>
        </w:r>
      </w:fldSimple>
      <w:r w:rsidRPr="00801879">
        <w:t xml:space="preserve">: </w:t>
      </w:r>
      <w:r w:rsidR="00C4183E">
        <w:t xml:space="preserve">Podpořené </w:t>
      </w:r>
      <w:r w:rsidRPr="00B62838">
        <w:t>projekt</w:t>
      </w:r>
      <w:r w:rsidR="00C4183E">
        <w:t>y</w:t>
      </w:r>
      <w:r w:rsidRPr="00B62838">
        <w:t xml:space="preserve"> podle </w:t>
      </w:r>
      <w:r w:rsidRPr="00801879">
        <w:t>CZ – NACE</w:t>
      </w:r>
      <w:bookmarkEnd w:id="3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3"/>
        <w:gridCol w:w="992"/>
        <w:gridCol w:w="1204"/>
        <w:gridCol w:w="1205"/>
        <w:gridCol w:w="1205"/>
        <w:gridCol w:w="1205"/>
      </w:tblGrid>
      <w:tr w:rsidR="004605AB" w:rsidRPr="0005085A" w14:paraId="40CC2E0B" w14:textId="6FBEFB0A" w:rsidTr="004605AB">
        <w:trPr>
          <w:trHeight w:val="993"/>
        </w:trPr>
        <w:tc>
          <w:tcPr>
            <w:tcW w:w="3823" w:type="dxa"/>
            <w:tcBorders>
              <w:bottom w:val="single" w:sz="4" w:space="0" w:color="auto"/>
            </w:tcBorders>
            <w:shd w:val="clear" w:color="auto" w:fill="B9E0F7" w:themeFill="accent5"/>
            <w:vAlign w:val="center"/>
            <w:hideMark/>
          </w:tcPr>
          <w:p w14:paraId="2B16901D" w14:textId="34519D2C" w:rsidR="004605AB" w:rsidRPr="0005085A" w:rsidRDefault="00E91E48" w:rsidP="004605AB">
            <w:pPr>
              <w:spacing w:after="0"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CZ – NACE</w:t>
            </w:r>
          </w:p>
        </w:tc>
        <w:tc>
          <w:tcPr>
            <w:tcW w:w="992" w:type="dxa"/>
            <w:tcBorders>
              <w:bottom w:val="single" w:sz="4" w:space="0" w:color="auto"/>
            </w:tcBorders>
            <w:shd w:val="clear" w:color="auto" w:fill="B9E0F7" w:themeFill="accent5"/>
            <w:vAlign w:val="center"/>
            <w:hideMark/>
          </w:tcPr>
          <w:p w14:paraId="1BA378A3" w14:textId="77777777" w:rsidR="004605AB" w:rsidRPr="0005085A" w:rsidRDefault="004605AB" w:rsidP="004605A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 xml:space="preserve">Počet </w:t>
            </w:r>
            <w:r w:rsidRPr="0005085A">
              <w:rPr>
                <w:rFonts w:ascii="Calibri" w:eastAsia="Times New Roman" w:hAnsi="Calibri" w:cs="Times New Roman"/>
                <w:color w:val="000000"/>
                <w:lang w:eastAsia="cs-CZ"/>
              </w:rPr>
              <w:br/>
              <w:t>projektů</w:t>
            </w:r>
          </w:p>
        </w:tc>
        <w:tc>
          <w:tcPr>
            <w:tcW w:w="1204" w:type="dxa"/>
            <w:tcBorders>
              <w:bottom w:val="single" w:sz="4" w:space="0" w:color="auto"/>
            </w:tcBorders>
            <w:shd w:val="clear" w:color="auto" w:fill="B9E0F7" w:themeFill="accent5"/>
            <w:vAlign w:val="center"/>
            <w:hideMark/>
          </w:tcPr>
          <w:p w14:paraId="6957BF5B" w14:textId="70FE0C1E" w:rsidR="004605AB" w:rsidRPr="0005085A" w:rsidRDefault="004605AB" w:rsidP="004605A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Celkové náklady</w:t>
            </w:r>
            <w:r w:rsidRPr="0005085A">
              <w:rPr>
                <w:rFonts w:ascii="Calibri" w:eastAsia="Times New Roman" w:hAnsi="Calibri" w:cs="Times New Roman"/>
                <w:color w:val="000000"/>
                <w:lang w:eastAsia="cs-CZ"/>
              </w:rPr>
              <w:br/>
              <w:t>(mil. Kč)</w:t>
            </w:r>
          </w:p>
        </w:tc>
        <w:tc>
          <w:tcPr>
            <w:tcW w:w="1205" w:type="dxa"/>
            <w:tcBorders>
              <w:bottom w:val="single" w:sz="4" w:space="0" w:color="auto"/>
            </w:tcBorders>
            <w:shd w:val="clear" w:color="auto" w:fill="B9E0F7" w:themeFill="accent5"/>
            <w:vAlign w:val="center"/>
          </w:tcPr>
          <w:p w14:paraId="37F9A60D" w14:textId="3FDC1155" w:rsidR="004605AB" w:rsidRPr="0005085A" w:rsidRDefault="004605AB" w:rsidP="004605A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Průměrné náklady</w:t>
            </w:r>
            <w:r w:rsidRPr="0005085A">
              <w:rPr>
                <w:rFonts w:ascii="Calibri" w:eastAsia="Times New Roman" w:hAnsi="Calibri" w:cs="Times New Roman"/>
                <w:color w:val="000000"/>
                <w:lang w:eastAsia="cs-CZ"/>
              </w:rPr>
              <w:br/>
              <w:t xml:space="preserve"> na projekt (mil. Kč)</w:t>
            </w:r>
          </w:p>
        </w:tc>
        <w:tc>
          <w:tcPr>
            <w:tcW w:w="1205" w:type="dxa"/>
            <w:tcBorders>
              <w:bottom w:val="single" w:sz="4" w:space="0" w:color="auto"/>
            </w:tcBorders>
            <w:shd w:val="clear" w:color="auto" w:fill="B9E0F7" w:themeFill="accent5"/>
            <w:vAlign w:val="center"/>
            <w:hideMark/>
          </w:tcPr>
          <w:p w14:paraId="66550476" w14:textId="7891C86F" w:rsidR="004605AB" w:rsidRPr="0005085A" w:rsidRDefault="004605AB" w:rsidP="004605A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 xml:space="preserve">Veřejná podpora </w:t>
            </w:r>
            <w:r w:rsidRPr="0005085A">
              <w:rPr>
                <w:rFonts w:ascii="Calibri" w:eastAsia="Times New Roman" w:hAnsi="Calibri" w:cs="Times New Roman"/>
                <w:color w:val="000000"/>
                <w:lang w:eastAsia="cs-CZ"/>
              </w:rPr>
              <w:br/>
              <w:t>(mil. Kč)</w:t>
            </w:r>
          </w:p>
        </w:tc>
        <w:tc>
          <w:tcPr>
            <w:tcW w:w="1205" w:type="dxa"/>
            <w:tcBorders>
              <w:bottom w:val="single" w:sz="4" w:space="0" w:color="auto"/>
            </w:tcBorders>
            <w:shd w:val="clear" w:color="auto" w:fill="B9E0F7" w:themeFill="accent5"/>
            <w:vAlign w:val="center"/>
          </w:tcPr>
          <w:p w14:paraId="0CB19237" w14:textId="0BC3535F" w:rsidR="004605AB" w:rsidRPr="0005085A" w:rsidRDefault="004605AB" w:rsidP="004605A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Intenzita podpory</w:t>
            </w:r>
          </w:p>
        </w:tc>
      </w:tr>
      <w:tr w:rsidR="004605AB" w:rsidRPr="00B65BF1" w14:paraId="07ADCBE9" w14:textId="13430AE5"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F2F8A" w14:textId="55131A0A"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000000"/>
              </w:rPr>
              <w:t>A – Zemědělství, lesnictví, rybářství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FAF48" w14:textId="7F4CE3A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20</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4113B" w14:textId="2258ACA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399</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3D702297" w14:textId="4C58732F" w:rsidR="004605AB" w:rsidRPr="00C52DD7" w:rsidRDefault="004605AB" w:rsidP="0031601B">
            <w:pPr>
              <w:spacing w:after="0" w:line="240" w:lineRule="auto"/>
              <w:jc w:val="right"/>
            </w:pPr>
            <w:r>
              <w:rPr>
                <w:rFonts w:ascii="Calibri" w:hAnsi="Calibri" w:cs="Calibri"/>
                <w:color w:val="000000"/>
              </w:rPr>
              <w:t>20</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5E77D" w14:textId="7847B161"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274</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0E05AE8A" w14:textId="0929A044"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69</w:t>
            </w:r>
            <w:r w:rsidR="0031601B">
              <w:rPr>
                <w:rFonts w:ascii="Calibri" w:hAnsi="Calibri" w:cs="Calibri"/>
                <w:color w:val="000000"/>
              </w:rPr>
              <w:t xml:space="preserve"> </w:t>
            </w:r>
            <w:r>
              <w:rPr>
                <w:rFonts w:ascii="Calibri" w:hAnsi="Calibri" w:cs="Calibri"/>
                <w:color w:val="000000"/>
              </w:rPr>
              <w:t>%</w:t>
            </w:r>
          </w:p>
        </w:tc>
      </w:tr>
      <w:tr w:rsidR="004605AB" w:rsidRPr="00B65BF1" w14:paraId="4423AB61" w14:textId="0B059238"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46A3C" w14:textId="6093C666"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000000"/>
              </w:rPr>
              <w:t>C – Zpracovatelský průmysl</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C494D" w14:textId="33C0A2C6"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432</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4F015" w14:textId="0E04156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r w:rsidR="0031601B">
              <w:rPr>
                <w:rFonts w:ascii="Calibri" w:hAnsi="Calibri" w:cs="Calibri"/>
                <w:color w:val="000000"/>
              </w:rPr>
              <w:t xml:space="preserve"> </w:t>
            </w:r>
            <w:r>
              <w:rPr>
                <w:rFonts w:ascii="Calibri" w:hAnsi="Calibri" w:cs="Calibri"/>
                <w:color w:val="000000"/>
              </w:rPr>
              <w:t>882</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1E208FCA" w14:textId="2BF64316" w:rsidR="004605AB" w:rsidRPr="00C52DD7" w:rsidRDefault="004605AB" w:rsidP="0031601B">
            <w:pPr>
              <w:spacing w:after="0" w:line="240" w:lineRule="auto"/>
              <w:jc w:val="right"/>
            </w:pPr>
            <w:r>
              <w:rPr>
                <w:rFonts w:ascii="Calibri" w:hAnsi="Calibri" w:cs="Calibri"/>
                <w:color w:val="000000"/>
              </w:rPr>
              <w:t>25</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B18B1" w14:textId="4DB56E53"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7</w:t>
            </w:r>
            <w:r w:rsidR="0031601B">
              <w:rPr>
                <w:rFonts w:ascii="Calibri" w:hAnsi="Calibri" w:cs="Calibri"/>
                <w:color w:val="000000"/>
              </w:rPr>
              <w:t xml:space="preserve"> </w:t>
            </w:r>
            <w:r>
              <w:rPr>
                <w:rFonts w:ascii="Calibri" w:hAnsi="Calibri" w:cs="Calibri"/>
                <w:color w:val="000000"/>
              </w:rPr>
              <w:t>005</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6FC716A7" w14:textId="1CF604DB"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64</w:t>
            </w:r>
            <w:r w:rsidR="0031601B">
              <w:rPr>
                <w:rFonts w:ascii="Calibri" w:hAnsi="Calibri" w:cs="Calibri"/>
                <w:color w:val="000000"/>
              </w:rPr>
              <w:t xml:space="preserve"> </w:t>
            </w:r>
            <w:r>
              <w:rPr>
                <w:rFonts w:ascii="Calibri" w:hAnsi="Calibri" w:cs="Calibri"/>
                <w:color w:val="000000"/>
              </w:rPr>
              <w:t>%</w:t>
            </w:r>
          </w:p>
        </w:tc>
      </w:tr>
      <w:tr w:rsidR="004605AB" w:rsidRPr="00B65BF1" w14:paraId="5A174684" w14:textId="43BCFA3B"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2775D" w14:textId="4A17E24F"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E – Zásobování vodou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9FD6E" w14:textId="07E86A3D"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32</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C4C37" w14:textId="1228CEFA"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769</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3DA8DDFD" w14:textId="02233B7E" w:rsidR="004605AB" w:rsidRPr="00C52DD7" w:rsidRDefault="004605AB" w:rsidP="0031601B">
            <w:pPr>
              <w:spacing w:after="0" w:line="240" w:lineRule="auto"/>
              <w:jc w:val="right"/>
            </w:pPr>
            <w:r>
              <w:rPr>
                <w:rFonts w:ascii="Calibri" w:hAnsi="Calibri" w:cs="Calibri"/>
                <w:color w:val="000000"/>
              </w:rPr>
              <w:t>24</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49925" w14:textId="1CAE09CC"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520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43D8831F" w14:textId="25250939"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68</w:t>
            </w:r>
            <w:r w:rsidR="0031601B">
              <w:rPr>
                <w:rFonts w:ascii="Calibri" w:hAnsi="Calibri" w:cs="Calibri"/>
                <w:color w:val="000000"/>
              </w:rPr>
              <w:t xml:space="preserve"> </w:t>
            </w:r>
            <w:r>
              <w:rPr>
                <w:rFonts w:ascii="Calibri" w:hAnsi="Calibri" w:cs="Calibri"/>
                <w:color w:val="000000"/>
              </w:rPr>
              <w:t>%</w:t>
            </w:r>
          </w:p>
        </w:tc>
      </w:tr>
      <w:tr w:rsidR="004605AB" w:rsidRPr="00B65BF1" w14:paraId="18FF35C0" w14:textId="642B265C"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91BC8" w14:textId="0B329208"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F – Stavebnictví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B9BB9" w14:textId="3B28699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26</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200C3" w14:textId="4CB07F3E"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607</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7E536785" w14:textId="01B1E281" w:rsidR="004605AB" w:rsidRPr="00C52DD7" w:rsidRDefault="004605AB" w:rsidP="0031601B">
            <w:pPr>
              <w:spacing w:after="0" w:line="240" w:lineRule="auto"/>
              <w:jc w:val="right"/>
            </w:pPr>
            <w:r>
              <w:rPr>
                <w:rFonts w:ascii="Calibri" w:hAnsi="Calibri" w:cs="Calibri"/>
                <w:color w:val="000000"/>
              </w:rPr>
              <w:t>23</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44314" w14:textId="204B177A"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413</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666B790D" w14:textId="18DF8402"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68</w:t>
            </w:r>
            <w:r w:rsidR="0031601B">
              <w:rPr>
                <w:rFonts w:ascii="Calibri" w:hAnsi="Calibri" w:cs="Calibri"/>
                <w:color w:val="000000"/>
              </w:rPr>
              <w:t xml:space="preserve"> </w:t>
            </w:r>
            <w:r>
              <w:rPr>
                <w:rFonts w:ascii="Calibri" w:hAnsi="Calibri" w:cs="Calibri"/>
                <w:color w:val="000000"/>
              </w:rPr>
              <w:t>%</w:t>
            </w:r>
          </w:p>
        </w:tc>
      </w:tr>
      <w:tr w:rsidR="004605AB" w:rsidRPr="00B65BF1" w14:paraId="38856A72" w14:textId="440FDB90"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DC338" w14:textId="0D1E3909"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H – Doprava a skladování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70539" w14:textId="3F235641"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10</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0394C" w14:textId="1F94F957"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244</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758D4E14" w14:textId="58910FC5" w:rsidR="004605AB" w:rsidRPr="00C52DD7" w:rsidRDefault="004605AB" w:rsidP="0031601B">
            <w:pPr>
              <w:spacing w:after="0" w:line="240" w:lineRule="auto"/>
              <w:jc w:val="right"/>
            </w:pPr>
            <w:r>
              <w:rPr>
                <w:rFonts w:ascii="Calibri" w:hAnsi="Calibri" w:cs="Calibri"/>
                <w:color w:val="000000"/>
              </w:rPr>
              <w:t>24</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2C711" w14:textId="5016CC7C"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155</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2F66F61C" w14:textId="51D81253"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64</w:t>
            </w:r>
            <w:r w:rsidR="0031601B">
              <w:rPr>
                <w:rFonts w:ascii="Calibri" w:hAnsi="Calibri" w:cs="Calibri"/>
                <w:color w:val="000000"/>
              </w:rPr>
              <w:t xml:space="preserve"> </w:t>
            </w:r>
            <w:r>
              <w:rPr>
                <w:rFonts w:ascii="Calibri" w:hAnsi="Calibri" w:cs="Calibri"/>
                <w:color w:val="000000"/>
              </w:rPr>
              <w:t>%</w:t>
            </w:r>
          </w:p>
        </w:tc>
      </w:tr>
      <w:tr w:rsidR="004605AB" w:rsidRPr="00B65BF1" w14:paraId="52935F78" w14:textId="1BFC5F00"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D8173" w14:textId="2B59B15A"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J – Informační a komunikační činnosti</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BCC2F" w14:textId="582279AE"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79</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4CB6B" w14:textId="3DEA0D8A"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w:t>
            </w:r>
            <w:r w:rsidR="0031601B">
              <w:rPr>
                <w:rFonts w:ascii="Calibri" w:hAnsi="Calibri" w:cs="Calibri"/>
                <w:color w:val="000000"/>
              </w:rPr>
              <w:t xml:space="preserve"> </w:t>
            </w:r>
            <w:r>
              <w:rPr>
                <w:rFonts w:ascii="Calibri" w:hAnsi="Calibri" w:cs="Calibri"/>
                <w:color w:val="000000"/>
              </w:rPr>
              <w:t>534</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7C0C7F04" w14:textId="3A58E626" w:rsidR="004605AB" w:rsidRPr="00C52DD7" w:rsidRDefault="004605AB" w:rsidP="0031601B">
            <w:pPr>
              <w:spacing w:after="0" w:line="240" w:lineRule="auto"/>
              <w:jc w:val="right"/>
            </w:pPr>
            <w:r>
              <w:rPr>
                <w:rFonts w:ascii="Calibri" w:hAnsi="Calibri" w:cs="Calibri"/>
                <w:color w:val="000000"/>
              </w:rPr>
              <w:t>19</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1B0AC" w14:textId="44564D8E"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w:t>
            </w:r>
            <w:r w:rsidR="0031601B">
              <w:rPr>
                <w:rFonts w:ascii="Calibri" w:hAnsi="Calibri" w:cs="Calibri"/>
                <w:color w:val="000000"/>
              </w:rPr>
              <w:t xml:space="preserve"> </w:t>
            </w:r>
            <w:r>
              <w:rPr>
                <w:rFonts w:ascii="Calibri" w:hAnsi="Calibri" w:cs="Calibri"/>
                <w:color w:val="000000"/>
              </w:rPr>
              <w:t>022</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3BD539C6" w14:textId="6943CC92"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67</w:t>
            </w:r>
            <w:r w:rsidR="0031601B">
              <w:rPr>
                <w:rFonts w:ascii="Calibri" w:hAnsi="Calibri" w:cs="Calibri"/>
                <w:color w:val="000000"/>
              </w:rPr>
              <w:t xml:space="preserve"> </w:t>
            </w:r>
            <w:r>
              <w:rPr>
                <w:rFonts w:ascii="Calibri" w:hAnsi="Calibri" w:cs="Calibri"/>
                <w:color w:val="000000"/>
              </w:rPr>
              <w:t>%</w:t>
            </w:r>
          </w:p>
        </w:tc>
      </w:tr>
      <w:tr w:rsidR="004605AB" w:rsidRPr="00B65BF1" w14:paraId="2944734A" w14:textId="7E16324C"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17BD9" w14:textId="355D2898"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M – Profesní, vědecké a tech</w:t>
            </w:r>
            <w:r w:rsidR="0031601B">
              <w:rPr>
                <w:rFonts w:ascii="Calibri" w:hAnsi="Calibri" w:cs="Calibri"/>
                <w:color w:val="202122"/>
              </w:rPr>
              <w:t>.</w:t>
            </w:r>
            <w:r>
              <w:rPr>
                <w:rFonts w:ascii="Calibri" w:hAnsi="Calibri" w:cs="Calibri"/>
                <w:color w:val="202122"/>
              </w:rPr>
              <w:t xml:space="preserve"> činnosti</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90EB8" w14:textId="4F8D12F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29</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68F58" w14:textId="62D2142C"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555</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31F60F64" w14:textId="71F71775" w:rsidR="004605AB" w:rsidRPr="00C52DD7" w:rsidRDefault="004605AB" w:rsidP="0031601B">
            <w:pPr>
              <w:spacing w:after="0" w:line="240" w:lineRule="auto"/>
              <w:jc w:val="right"/>
            </w:pPr>
            <w:r>
              <w:rPr>
                <w:rFonts w:ascii="Calibri" w:hAnsi="Calibri" w:cs="Calibri"/>
                <w:color w:val="000000"/>
              </w:rPr>
              <w:t>19</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942CC" w14:textId="2F4BD0AD"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380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349497DA" w14:textId="690BF5BF"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68</w:t>
            </w:r>
            <w:r w:rsidR="0031601B">
              <w:rPr>
                <w:rFonts w:ascii="Calibri" w:hAnsi="Calibri" w:cs="Calibri"/>
                <w:color w:val="000000"/>
              </w:rPr>
              <w:t xml:space="preserve"> </w:t>
            </w:r>
            <w:r>
              <w:rPr>
                <w:rFonts w:ascii="Calibri" w:hAnsi="Calibri" w:cs="Calibri"/>
                <w:color w:val="000000"/>
              </w:rPr>
              <w:t>%</w:t>
            </w:r>
          </w:p>
        </w:tc>
      </w:tr>
      <w:tr w:rsidR="004605AB" w:rsidRPr="00B65BF1" w14:paraId="7F737D3D" w14:textId="439264FB"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30877" w14:textId="1F7D9C10"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000000"/>
              </w:rPr>
              <w:t>Q – Zdravotní a sociální péče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8C3A6" w14:textId="4D073BB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26</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6B269" w14:textId="3DE6E060"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630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529750C4" w14:textId="2A114762" w:rsidR="004605AB" w:rsidRPr="00C52DD7" w:rsidRDefault="004605AB" w:rsidP="0031601B">
            <w:pPr>
              <w:spacing w:after="0" w:line="240" w:lineRule="auto"/>
              <w:jc w:val="right"/>
            </w:pPr>
            <w:r>
              <w:rPr>
                <w:rFonts w:ascii="Calibri" w:hAnsi="Calibri" w:cs="Calibri"/>
                <w:color w:val="000000"/>
              </w:rPr>
              <w:t>24</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25B41" w14:textId="73EC3844"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433</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6238C267" w14:textId="0ADF9222"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69</w:t>
            </w:r>
            <w:r w:rsidR="0031601B">
              <w:rPr>
                <w:rFonts w:ascii="Calibri" w:hAnsi="Calibri" w:cs="Calibri"/>
                <w:color w:val="000000"/>
              </w:rPr>
              <w:t xml:space="preserve"> </w:t>
            </w:r>
            <w:r>
              <w:rPr>
                <w:rFonts w:ascii="Calibri" w:hAnsi="Calibri" w:cs="Calibri"/>
                <w:color w:val="000000"/>
              </w:rPr>
              <w:t>%</w:t>
            </w:r>
          </w:p>
        </w:tc>
      </w:tr>
      <w:tr w:rsidR="004605AB" w:rsidRPr="00B65BF1" w14:paraId="36C7099F" w14:textId="3686E5BA"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BB4A0" w14:textId="48D61D4F" w:rsidR="004605AB" w:rsidRPr="00B65BF1" w:rsidRDefault="004605AB" w:rsidP="0031601B">
            <w:pPr>
              <w:spacing w:after="0" w:line="240" w:lineRule="auto"/>
              <w:rPr>
                <w:rFonts w:ascii="Calibri" w:eastAsia="Times New Roman" w:hAnsi="Calibri" w:cs="Times New Roman"/>
                <w:color w:val="000000"/>
                <w:lang w:eastAsia="cs-CZ"/>
              </w:rPr>
            </w:pPr>
            <w:r>
              <w:rPr>
                <w:rFonts w:ascii="Calibri" w:hAnsi="Calibri" w:cs="Calibri"/>
                <w:color w:val="202122"/>
              </w:rPr>
              <w:t>ostatní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D1D38" w14:textId="035D7935"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16</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69E92" w14:textId="6DA88466"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408</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5C2E2DD7" w14:textId="248CAF05" w:rsidR="004605AB" w:rsidRPr="00C52DD7" w:rsidRDefault="004605AB" w:rsidP="0031601B">
            <w:pPr>
              <w:spacing w:after="0" w:line="240" w:lineRule="auto"/>
              <w:jc w:val="right"/>
            </w:pPr>
            <w:r>
              <w:rPr>
                <w:rFonts w:ascii="Calibri" w:hAnsi="Calibri" w:cs="Calibri"/>
                <w:color w:val="000000"/>
              </w:rPr>
              <w:t>26</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17309" w14:textId="4423216B"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262</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7027D128" w14:textId="3DF5CB7D" w:rsidR="004605AB" w:rsidRPr="00B65BF1" w:rsidRDefault="004605AB" w:rsidP="0031601B">
            <w:pPr>
              <w:spacing w:after="0" w:line="240" w:lineRule="auto"/>
              <w:jc w:val="right"/>
              <w:rPr>
                <w:rFonts w:ascii="Calibri" w:eastAsia="Times New Roman" w:hAnsi="Calibri" w:cs="Times New Roman"/>
                <w:color w:val="000000"/>
                <w:lang w:eastAsia="cs-CZ"/>
              </w:rPr>
            </w:pPr>
            <w:r>
              <w:rPr>
                <w:rFonts w:ascii="Calibri" w:hAnsi="Calibri" w:cs="Calibri"/>
                <w:color w:val="000000"/>
              </w:rPr>
              <w:t>64</w:t>
            </w:r>
            <w:r w:rsidR="0031601B">
              <w:rPr>
                <w:rFonts w:ascii="Calibri" w:hAnsi="Calibri" w:cs="Calibri"/>
                <w:color w:val="000000"/>
              </w:rPr>
              <w:t xml:space="preserve"> </w:t>
            </w:r>
            <w:r>
              <w:rPr>
                <w:rFonts w:ascii="Calibri" w:hAnsi="Calibri" w:cs="Calibri"/>
                <w:color w:val="000000"/>
              </w:rPr>
              <w:t>%</w:t>
            </w:r>
          </w:p>
        </w:tc>
      </w:tr>
      <w:tr w:rsidR="004605AB" w:rsidRPr="0087536B" w14:paraId="4F969499" w14:textId="428FDB66" w:rsidTr="001C7D9A">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BCF2F" w14:textId="65815C77" w:rsidR="004605AB" w:rsidRPr="0031601B" w:rsidRDefault="004605AB" w:rsidP="0031601B">
            <w:pPr>
              <w:spacing w:after="0" w:line="240" w:lineRule="auto"/>
              <w:rPr>
                <w:rFonts w:ascii="Calibri" w:eastAsia="Times New Roman" w:hAnsi="Calibri" w:cs="Times New Roman"/>
                <w:b/>
                <w:bCs/>
                <w:color w:val="000000"/>
                <w:lang w:eastAsia="cs-CZ"/>
              </w:rPr>
            </w:pPr>
            <w:r w:rsidRPr="0031601B">
              <w:rPr>
                <w:rFonts w:ascii="Calibri" w:hAnsi="Calibri" w:cs="Calibri"/>
                <w:b/>
                <w:bCs/>
                <w:color w:val="000000"/>
              </w:rPr>
              <w:t>CELKEM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7F2E7" w14:textId="5CFC7891" w:rsidR="004605AB" w:rsidRPr="0031601B" w:rsidRDefault="004605AB" w:rsidP="0031601B">
            <w:pPr>
              <w:spacing w:after="0" w:line="240" w:lineRule="auto"/>
              <w:jc w:val="right"/>
              <w:rPr>
                <w:rFonts w:ascii="Calibri" w:eastAsia="Times New Roman" w:hAnsi="Calibri" w:cs="Times New Roman"/>
                <w:b/>
                <w:bCs/>
                <w:color w:val="000000"/>
                <w:lang w:eastAsia="cs-CZ"/>
              </w:rPr>
            </w:pPr>
            <w:r w:rsidRPr="0031601B">
              <w:rPr>
                <w:rFonts w:ascii="Calibri" w:hAnsi="Calibri" w:cs="Calibri"/>
                <w:b/>
                <w:bCs/>
                <w:color w:val="000000"/>
              </w:rPr>
              <w:t>670</w:t>
            </w:r>
          </w:p>
        </w:tc>
        <w:tc>
          <w:tcPr>
            <w:tcW w:w="12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E3D91" w14:textId="46783E8A" w:rsidR="004605AB" w:rsidRPr="0031601B" w:rsidRDefault="004605AB" w:rsidP="0031601B">
            <w:pPr>
              <w:spacing w:after="0" w:line="240" w:lineRule="auto"/>
              <w:jc w:val="right"/>
              <w:rPr>
                <w:rFonts w:ascii="Calibri" w:eastAsia="Times New Roman" w:hAnsi="Calibri" w:cs="Times New Roman"/>
                <w:b/>
                <w:bCs/>
                <w:color w:val="000000"/>
                <w:lang w:eastAsia="cs-CZ"/>
              </w:rPr>
            </w:pPr>
            <w:r w:rsidRPr="0031601B">
              <w:rPr>
                <w:rFonts w:ascii="Calibri" w:hAnsi="Calibri" w:cs="Calibri"/>
                <w:b/>
                <w:bCs/>
                <w:color w:val="000000"/>
              </w:rPr>
              <w:t>16</w:t>
            </w:r>
            <w:r w:rsidR="0031601B" w:rsidRPr="0031601B">
              <w:rPr>
                <w:rFonts w:ascii="Calibri" w:hAnsi="Calibri" w:cs="Calibri"/>
                <w:b/>
                <w:bCs/>
                <w:color w:val="000000"/>
              </w:rPr>
              <w:t xml:space="preserve"> </w:t>
            </w:r>
            <w:r w:rsidRPr="0031601B">
              <w:rPr>
                <w:rFonts w:ascii="Calibri" w:hAnsi="Calibri" w:cs="Calibri"/>
                <w:b/>
                <w:bCs/>
                <w:color w:val="000000"/>
              </w:rPr>
              <w:t>028</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76707573" w14:textId="0C6B5CBA" w:rsidR="004605AB" w:rsidRPr="0031601B" w:rsidRDefault="004605AB" w:rsidP="0031601B">
            <w:pPr>
              <w:spacing w:after="0" w:line="240" w:lineRule="auto"/>
              <w:jc w:val="right"/>
              <w:rPr>
                <w:b/>
                <w:bCs/>
              </w:rPr>
            </w:pPr>
            <w:r w:rsidRPr="0031601B">
              <w:rPr>
                <w:rFonts w:ascii="Calibri" w:hAnsi="Calibri" w:cs="Calibri"/>
                <w:b/>
                <w:bCs/>
                <w:color w:val="000000"/>
              </w:rPr>
              <w:t>24</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CBF9C" w14:textId="57162F83" w:rsidR="004605AB" w:rsidRPr="0031601B" w:rsidRDefault="004605AB" w:rsidP="0031601B">
            <w:pPr>
              <w:spacing w:after="0" w:line="240" w:lineRule="auto"/>
              <w:jc w:val="right"/>
              <w:rPr>
                <w:rFonts w:ascii="Calibri" w:eastAsia="Times New Roman" w:hAnsi="Calibri" w:cs="Times New Roman"/>
                <w:b/>
                <w:bCs/>
                <w:color w:val="000000"/>
                <w:lang w:eastAsia="cs-CZ"/>
              </w:rPr>
            </w:pPr>
            <w:r w:rsidRPr="0031601B">
              <w:rPr>
                <w:rFonts w:ascii="Calibri" w:hAnsi="Calibri" w:cs="Calibri"/>
                <w:b/>
                <w:bCs/>
                <w:color w:val="000000"/>
              </w:rPr>
              <w:t>10</w:t>
            </w:r>
            <w:r w:rsidR="0031601B" w:rsidRPr="0031601B">
              <w:rPr>
                <w:rFonts w:ascii="Calibri" w:hAnsi="Calibri" w:cs="Calibri"/>
                <w:b/>
                <w:bCs/>
                <w:color w:val="000000"/>
              </w:rPr>
              <w:t xml:space="preserve"> </w:t>
            </w:r>
            <w:r w:rsidRPr="0031601B">
              <w:rPr>
                <w:rFonts w:ascii="Calibri" w:hAnsi="Calibri" w:cs="Calibri"/>
                <w:b/>
                <w:bCs/>
                <w:color w:val="000000"/>
              </w:rPr>
              <w:t>464</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14:paraId="23E0B93D" w14:textId="198C4989" w:rsidR="004605AB" w:rsidRPr="0031601B" w:rsidRDefault="004605AB" w:rsidP="0031601B">
            <w:pPr>
              <w:spacing w:after="0" w:line="240" w:lineRule="auto"/>
              <w:jc w:val="right"/>
              <w:rPr>
                <w:rFonts w:ascii="Calibri" w:eastAsia="Times New Roman" w:hAnsi="Calibri" w:cs="Times New Roman"/>
                <w:b/>
                <w:bCs/>
                <w:color w:val="000000"/>
                <w:lang w:eastAsia="cs-CZ"/>
              </w:rPr>
            </w:pPr>
            <w:r w:rsidRPr="0031601B">
              <w:rPr>
                <w:rFonts w:ascii="Calibri" w:hAnsi="Calibri" w:cs="Calibri"/>
                <w:b/>
                <w:bCs/>
                <w:color w:val="000000"/>
              </w:rPr>
              <w:t>65</w:t>
            </w:r>
            <w:r w:rsidR="0031601B" w:rsidRPr="0031601B">
              <w:rPr>
                <w:rFonts w:ascii="Calibri" w:hAnsi="Calibri" w:cs="Calibri"/>
                <w:b/>
                <w:bCs/>
                <w:color w:val="000000"/>
              </w:rPr>
              <w:t xml:space="preserve"> </w:t>
            </w:r>
            <w:r w:rsidRPr="0031601B">
              <w:rPr>
                <w:rFonts w:ascii="Calibri" w:hAnsi="Calibri" w:cs="Calibri"/>
                <w:b/>
                <w:bCs/>
                <w:color w:val="000000"/>
              </w:rPr>
              <w:t>%</w:t>
            </w:r>
          </w:p>
        </w:tc>
      </w:tr>
    </w:tbl>
    <w:p w14:paraId="0FBB1C64" w14:textId="3C8EE52A" w:rsidR="00B62838" w:rsidRPr="00B62838" w:rsidRDefault="00B62838" w:rsidP="0042658C">
      <w:pPr>
        <w:spacing w:before="240" w:after="120"/>
        <w:jc w:val="both"/>
      </w:pPr>
      <w:r w:rsidRPr="00717301">
        <w:t xml:space="preserve">Pokud se podíváme na detailnější rozdělení kategorie Zpracovatelský průmysl, </w:t>
      </w:r>
      <w:r w:rsidR="00E91E48" w:rsidRPr="00717301">
        <w:t xml:space="preserve">jednoznačně nejpočetněji zastoupení jsou </w:t>
      </w:r>
      <w:r w:rsidRPr="00717301">
        <w:t xml:space="preserve">projekty řazené do skupiny </w:t>
      </w:r>
      <w:r w:rsidRPr="00717301">
        <w:rPr>
          <w:rFonts w:ascii="Calibri" w:eastAsia="Times New Roman" w:hAnsi="Calibri" w:cs="Times New Roman"/>
          <w:i/>
          <w:iCs/>
          <w:color w:val="000000"/>
          <w:lang w:eastAsia="cs-CZ"/>
        </w:rPr>
        <w:t>28 - Výroba strojů a zařízení</w:t>
      </w:r>
      <w:r w:rsidRPr="00717301">
        <w:rPr>
          <w:rFonts w:ascii="Calibri" w:eastAsia="Times New Roman" w:hAnsi="Calibri" w:cs="Times New Roman"/>
          <w:color w:val="000000"/>
          <w:lang w:eastAsia="cs-CZ"/>
        </w:rPr>
        <w:t xml:space="preserve"> a</w:t>
      </w:r>
      <w:r w:rsidRPr="00717301">
        <w:t xml:space="preserve"> </w:t>
      </w:r>
      <w:r w:rsidRPr="00717301">
        <w:rPr>
          <w:rFonts w:ascii="Calibri" w:eastAsia="Times New Roman" w:hAnsi="Calibri" w:cs="Times New Roman"/>
          <w:i/>
          <w:iCs/>
          <w:color w:val="000000"/>
          <w:lang w:eastAsia="cs-CZ"/>
        </w:rPr>
        <w:t>26 - Výroba počítačů, elektronických a optických přístrojů a zařízení</w:t>
      </w:r>
      <w:r w:rsidRPr="00717301">
        <w:t xml:space="preserve">. </w:t>
      </w:r>
      <w:r w:rsidR="00717301" w:rsidRPr="00717301">
        <w:t>S velkým odstupem následují již relativně rovnoměrně zastoupené další oblasti. Celkem výrazné rozdíly dle tohoto členění jsou v celkových nákladech projektů, a to i za situace, kdy nevyšší možná podpora na jeden projekt (a tedy i relevantní velikost projektů jako takových) byla v programu TREND významně snížena</w:t>
      </w:r>
      <w:r w:rsidR="00717301">
        <w:t>, což mělo za následek nivelizaci rozdílů. P</w:t>
      </w:r>
      <w:r w:rsidR="00717301" w:rsidRPr="00717301">
        <w:t>okud odhlédneme od některých oborů zastoupených jen jednotkami projektů</w:t>
      </w:r>
      <w:r w:rsidR="00717301">
        <w:t>, n</w:t>
      </w:r>
      <w:r w:rsidRPr="00717301">
        <w:t xml:space="preserve">ejvyšších průměrných nákladů na projekt dosahují projekty </w:t>
      </w:r>
      <w:r w:rsidRPr="00717301">
        <w:lastRenderedPageBreak/>
        <w:t xml:space="preserve">zabývající se </w:t>
      </w:r>
      <w:r w:rsidRPr="00717301">
        <w:rPr>
          <w:rFonts w:ascii="Calibri" w:eastAsia="Times New Roman" w:hAnsi="Calibri" w:cs="Times New Roman"/>
          <w:i/>
          <w:iCs/>
          <w:color w:val="000000"/>
          <w:lang w:eastAsia="cs-CZ"/>
        </w:rPr>
        <w:t>Výrobou ostatních dopravních prostředků a zařízení</w:t>
      </w:r>
      <w:r w:rsidRPr="00717301">
        <w:rPr>
          <w:rFonts w:ascii="Calibri" w:eastAsia="Times New Roman" w:hAnsi="Calibri" w:cs="Times New Roman"/>
          <w:color w:val="000000"/>
          <w:lang w:eastAsia="cs-CZ"/>
        </w:rPr>
        <w:t xml:space="preserve"> (cca </w:t>
      </w:r>
      <w:r w:rsidR="00717301">
        <w:rPr>
          <w:rFonts w:ascii="Calibri" w:eastAsia="Times New Roman" w:hAnsi="Calibri" w:cs="Times New Roman"/>
          <w:color w:val="000000"/>
          <w:lang w:eastAsia="cs-CZ"/>
        </w:rPr>
        <w:t>34</w:t>
      </w:r>
      <w:r w:rsidRPr="00717301">
        <w:rPr>
          <w:rFonts w:ascii="Calibri" w:eastAsia="Times New Roman" w:hAnsi="Calibri" w:cs="Times New Roman"/>
          <w:color w:val="000000"/>
          <w:lang w:eastAsia="cs-CZ"/>
        </w:rPr>
        <w:t> mil. Kč)</w:t>
      </w:r>
      <w:r w:rsidRPr="00717301">
        <w:t xml:space="preserve">. Z těch, které jsou zastoupeny alespoň 10 projekty, dosahují nejnižších průměrných nákladů na projekt kategorie </w:t>
      </w:r>
      <w:r w:rsidRPr="00717301">
        <w:rPr>
          <w:i/>
          <w:iCs/>
        </w:rPr>
        <w:t>22 – Výroba pryžových a plastových výrobků</w:t>
      </w:r>
      <w:r w:rsidRPr="00717301">
        <w:t xml:space="preserve"> a </w:t>
      </w:r>
      <w:r w:rsidRPr="00717301">
        <w:rPr>
          <w:i/>
          <w:iCs/>
        </w:rPr>
        <w:t>32 – Ostatní zpracovatelský průmysl</w:t>
      </w:r>
      <w:r w:rsidRPr="00717301">
        <w:t xml:space="preserve">, shodně </w:t>
      </w:r>
      <w:r w:rsidR="00717301">
        <w:t>necelých</w:t>
      </w:r>
      <w:r w:rsidRPr="00717301">
        <w:t xml:space="preserve"> 21 mil. Kč</w:t>
      </w:r>
      <w:r w:rsidR="00717301">
        <w:t>. M</w:t>
      </w:r>
      <w:r w:rsidRPr="00717301">
        <w:t xml:space="preserve">imo oblast zpracovatelského průmyslu pak </w:t>
      </w:r>
      <w:r w:rsidR="00717301">
        <w:t xml:space="preserve">průměrné náklady několika </w:t>
      </w:r>
      <w:r w:rsidRPr="00717301">
        <w:t xml:space="preserve">odvětví </w:t>
      </w:r>
      <w:r w:rsidR="00717301">
        <w:t xml:space="preserve">nepřesahují 20 </w:t>
      </w:r>
      <w:r w:rsidRPr="00717301">
        <w:t>mil. Kč na projekt.</w:t>
      </w:r>
    </w:p>
    <w:p w14:paraId="150D7F54" w14:textId="1BC81C32" w:rsidR="00EE6096" w:rsidRPr="00EE6096" w:rsidRDefault="00EE6096" w:rsidP="00A7392F">
      <w:pPr>
        <w:pStyle w:val="Titulek"/>
      </w:pPr>
      <w:bookmarkStart w:id="40" w:name="_Toc185334583"/>
      <w:r w:rsidRPr="00801879">
        <w:t xml:space="preserve">Tabulka </w:t>
      </w:r>
      <w:r w:rsidR="00353407">
        <w:fldChar w:fldCharType="begin"/>
      </w:r>
      <w:r w:rsidR="00353407">
        <w:instrText xml:space="preserve"> SEQ Tabulka \* ARABIC </w:instrText>
      </w:r>
      <w:r w:rsidR="00353407">
        <w:fldChar w:fldCharType="separate"/>
      </w:r>
      <w:r w:rsidR="00353407">
        <w:rPr>
          <w:noProof/>
        </w:rPr>
        <w:t>16</w:t>
      </w:r>
      <w:r w:rsidR="00353407">
        <w:rPr>
          <w:noProof/>
        </w:rPr>
        <w:fldChar w:fldCharType="end"/>
      </w:r>
      <w:r w:rsidRPr="00801879">
        <w:t xml:space="preserve">: </w:t>
      </w:r>
      <w:r w:rsidR="00C4183E">
        <w:t>Podpořené projekty – Zpracovatelský</w:t>
      </w:r>
      <w:r w:rsidRPr="00801879">
        <w:t xml:space="preserve"> průmysl</w:t>
      </w:r>
      <w:bookmarkEnd w:id="39"/>
      <w:r w:rsidR="00801879" w:rsidRPr="00801879">
        <w:t xml:space="preserve"> (zastoupené alespoň v</w:t>
      </w:r>
      <w:r w:rsidR="00CE7C79">
        <w:t> </w:t>
      </w:r>
      <w:r w:rsidR="00801879" w:rsidRPr="00801879">
        <w:t>10 projektech)</w:t>
      </w:r>
      <w:bookmarkEnd w:id="40"/>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62"/>
        <w:gridCol w:w="972"/>
        <w:gridCol w:w="1307"/>
        <w:gridCol w:w="1312"/>
        <w:gridCol w:w="1133"/>
        <w:gridCol w:w="950"/>
      </w:tblGrid>
      <w:tr w:rsidR="00195975" w:rsidRPr="00312911" w14:paraId="7065E64E" w14:textId="77777777" w:rsidTr="00E91E48">
        <w:trPr>
          <w:trHeight w:val="397"/>
          <w:tblHeader/>
        </w:trPr>
        <w:tc>
          <w:tcPr>
            <w:tcW w:w="2086" w:type="pct"/>
            <w:shd w:val="clear" w:color="auto" w:fill="B9E0F7" w:themeFill="accent5"/>
            <w:noWrap/>
            <w:vAlign w:val="center"/>
            <w:hideMark/>
          </w:tcPr>
          <w:p w14:paraId="0B34B04A" w14:textId="6CF452EB" w:rsidR="00195975" w:rsidRDefault="00195975" w:rsidP="00365DF1">
            <w:pPr>
              <w:spacing w:after="0" w:line="240" w:lineRule="auto"/>
              <w:jc w:val="center"/>
              <w:rPr>
                <w:rFonts w:ascii="Calibri" w:eastAsia="Times New Roman" w:hAnsi="Calibri" w:cs="Times New Roman"/>
                <w:color w:val="000000"/>
                <w:lang w:eastAsia="cs-CZ"/>
              </w:rPr>
            </w:pPr>
            <w:r w:rsidRPr="00C50564">
              <w:rPr>
                <w:rFonts w:ascii="Calibri" w:eastAsia="Times New Roman" w:hAnsi="Calibri" w:cs="Times New Roman"/>
                <w:color w:val="000000"/>
                <w:lang w:eastAsia="cs-CZ"/>
              </w:rPr>
              <w:t xml:space="preserve">Podpořené skupiny </w:t>
            </w:r>
            <w:r>
              <w:rPr>
                <w:rFonts w:ascii="Calibri" w:eastAsia="Times New Roman" w:hAnsi="Calibri" w:cs="Times New Roman"/>
                <w:color w:val="000000"/>
                <w:lang w:eastAsia="cs-CZ"/>
              </w:rPr>
              <w:t>v</w:t>
            </w:r>
            <w:r w:rsidR="00CE7C79">
              <w:rPr>
                <w:rFonts w:ascii="Calibri" w:eastAsia="Times New Roman" w:hAnsi="Calibri" w:cs="Times New Roman"/>
                <w:color w:val="000000"/>
                <w:lang w:eastAsia="cs-CZ"/>
              </w:rPr>
              <w:t> </w:t>
            </w:r>
            <w:r>
              <w:rPr>
                <w:rFonts w:ascii="Calibri" w:eastAsia="Times New Roman" w:hAnsi="Calibri" w:cs="Times New Roman"/>
                <w:color w:val="000000"/>
                <w:lang w:eastAsia="cs-CZ"/>
              </w:rPr>
              <w:t>kategorii</w:t>
            </w:r>
          </w:p>
          <w:p w14:paraId="7F5BC764" w14:textId="77777777" w:rsidR="00195975" w:rsidRPr="00312911" w:rsidRDefault="00195975" w:rsidP="00365DF1">
            <w:pPr>
              <w:spacing w:after="0" w:line="240" w:lineRule="auto"/>
              <w:jc w:val="center"/>
              <w:rPr>
                <w:rFonts w:ascii="Calibri" w:eastAsia="Times New Roman" w:hAnsi="Calibri" w:cs="Times New Roman"/>
                <w:color w:val="000000"/>
                <w:lang w:eastAsia="cs-CZ"/>
              </w:rPr>
            </w:pPr>
            <w:r w:rsidRPr="00C50564">
              <w:rPr>
                <w:rFonts w:ascii="Calibri" w:eastAsia="Times New Roman" w:hAnsi="Calibri" w:cs="Times New Roman"/>
                <w:color w:val="000000"/>
                <w:lang w:eastAsia="cs-CZ"/>
              </w:rPr>
              <w:t>Zpracovatelský průmysl</w:t>
            </w:r>
          </w:p>
        </w:tc>
        <w:tc>
          <w:tcPr>
            <w:tcW w:w="499" w:type="pct"/>
            <w:shd w:val="clear" w:color="auto" w:fill="B9E0F7" w:themeFill="accent5"/>
            <w:vAlign w:val="center"/>
            <w:hideMark/>
          </w:tcPr>
          <w:p w14:paraId="7EFD5696" w14:textId="77777777" w:rsidR="00195975" w:rsidRPr="00312911" w:rsidRDefault="00195975" w:rsidP="00365DF1">
            <w:pPr>
              <w:spacing w:after="0" w:line="240" w:lineRule="auto"/>
              <w:jc w:val="center"/>
              <w:rPr>
                <w:rFonts w:eastAsia="Times New Roman" w:cs="Times New Roman"/>
                <w:color w:val="000000"/>
                <w:szCs w:val="20"/>
                <w:lang w:eastAsia="cs-CZ"/>
              </w:rPr>
            </w:pPr>
            <w:r w:rsidRPr="00312911">
              <w:rPr>
                <w:rFonts w:eastAsia="Times New Roman" w:cs="Times New Roman"/>
                <w:color w:val="000000"/>
                <w:szCs w:val="20"/>
                <w:lang w:eastAsia="cs-CZ"/>
              </w:rPr>
              <w:t>Počet projektů</w:t>
            </w:r>
          </w:p>
        </w:tc>
        <w:tc>
          <w:tcPr>
            <w:tcW w:w="671" w:type="pct"/>
            <w:shd w:val="clear" w:color="auto" w:fill="B9E0F7" w:themeFill="accent5"/>
            <w:vAlign w:val="center"/>
            <w:hideMark/>
          </w:tcPr>
          <w:p w14:paraId="57EFC415" w14:textId="77777777" w:rsidR="00195975" w:rsidRPr="00312911" w:rsidRDefault="00195975" w:rsidP="00365DF1">
            <w:pPr>
              <w:spacing w:after="0" w:line="240" w:lineRule="auto"/>
              <w:jc w:val="center"/>
              <w:rPr>
                <w:rFonts w:eastAsia="Times New Roman" w:cs="Times New Roman"/>
                <w:color w:val="000000"/>
                <w:szCs w:val="20"/>
                <w:lang w:eastAsia="cs-CZ"/>
              </w:rPr>
            </w:pPr>
            <w:r w:rsidRPr="00312911">
              <w:rPr>
                <w:rFonts w:eastAsia="Times New Roman" w:cs="Times New Roman"/>
                <w:color w:val="000000"/>
                <w:szCs w:val="20"/>
                <w:lang w:eastAsia="cs-CZ"/>
              </w:rPr>
              <w:t>Celkové náklady</w:t>
            </w:r>
            <w:r w:rsidRPr="00312911">
              <w:rPr>
                <w:rFonts w:eastAsia="Times New Roman" w:cs="Times New Roman"/>
                <w:color w:val="000000"/>
                <w:szCs w:val="20"/>
                <w:lang w:eastAsia="cs-CZ"/>
              </w:rPr>
              <w:br/>
              <w:t>(mil. Kč)</w:t>
            </w:r>
          </w:p>
        </w:tc>
        <w:tc>
          <w:tcPr>
            <w:tcW w:w="674" w:type="pct"/>
            <w:shd w:val="clear" w:color="auto" w:fill="B9E0F7" w:themeFill="accent5"/>
            <w:vAlign w:val="center"/>
            <w:hideMark/>
          </w:tcPr>
          <w:p w14:paraId="244242C1" w14:textId="77777777" w:rsidR="00195975" w:rsidRPr="00312911" w:rsidRDefault="00195975" w:rsidP="00365DF1">
            <w:pPr>
              <w:spacing w:after="0" w:line="240" w:lineRule="auto"/>
              <w:jc w:val="center"/>
              <w:rPr>
                <w:rFonts w:eastAsia="Times New Roman" w:cs="Times New Roman"/>
                <w:color w:val="000000"/>
                <w:szCs w:val="20"/>
                <w:lang w:eastAsia="cs-CZ"/>
              </w:rPr>
            </w:pPr>
            <w:r w:rsidRPr="00312911">
              <w:rPr>
                <w:rFonts w:eastAsia="Times New Roman" w:cs="Times New Roman"/>
                <w:color w:val="000000"/>
                <w:szCs w:val="20"/>
                <w:lang w:eastAsia="cs-CZ"/>
              </w:rPr>
              <w:t>Průměrné náklady</w:t>
            </w:r>
            <w:r w:rsidRPr="00312911">
              <w:rPr>
                <w:rFonts w:eastAsia="Times New Roman" w:cs="Times New Roman"/>
                <w:color w:val="000000"/>
                <w:szCs w:val="20"/>
                <w:lang w:eastAsia="cs-CZ"/>
              </w:rPr>
              <w:br/>
              <w:t xml:space="preserve"> na projekt </w:t>
            </w:r>
            <w:r w:rsidRPr="00C50564">
              <w:rPr>
                <w:rFonts w:eastAsia="Times New Roman" w:cs="Times New Roman"/>
                <w:color w:val="000000"/>
                <w:szCs w:val="20"/>
                <w:lang w:eastAsia="cs-CZ"/>
              </w:rPr>
              <w:br/>
            </w:r>
            <w:r w:rsidRPr="00312911">
              <w:rPr>
                <w:rFonts w:eastAsia="Times New Roman" w:cs="Times New Roman"/>
                <w:color w:val="000000"/>
                <w:szCs w:val="20"/>
                <w:lang w:eastAsia="cs-CZ"/>
              </w:rPr>
              <w:t>(mil. Kč)</w:t>
            </w:r>
          </w:p>
        </w:tc>
        <w:tc>
          <w:tcPr>
            <w:tcW w:w="582" w:type="pct"/>
            <w:shd w:val="clear" w:color="auto" w:fill="B9E0F7" w:themeFill="accent5"/>
            <w:vAlign w:val="center"/>
            <w:hideMark/>
          </w:tcPr>
          <w:p w14:paraId="1D07B9E3" w14:textId="77777777" w:rsidR="00195975" w:rsidRPr="00312911" w:rsidRDefault="00195975" w:rsidP="00365DF1">
            <w:pPr>
              <w:spacing w:after="0" w:line="240" w:lineRule="auto"/>
              <w:jc w:val="center"/>
              <w:rPr>
                <w:rFonts w:eastAsia="Times New Roman" w:cs="Times New Roman"/>
                <w:color w:val="000000"/>
                <w:szCs w:val="20"/>
                <w:lang w:eastAsia="cs-CZ"/>
              </w:rPr>
            </w:pPr>
            <w:r w:rsidRPr="00312911">
              <w:rPr>
                <w:rFonts w:eastAsia="Times New Roman" w:cs="Times New Roman"/>
                <w:color w:val="000000"/>
                <w:szCs w:val="20"/>
                <w:lang w:eastAsia="cs-CZ"/>
              </w:rPr>
              <w:t xml:space="preserve">Veřejná podpora </w:t>
            </w:r>
            <w:r w:rsidRPr="00312911">
              <w:rPr>
                <w:rFonts w:eastAsia="Times New Roman" w:cs="Times New Roman"/>
                <w:color w:val="000000"/>
                <w:szCs w:val="20"/>
                <w:lang w:eastAsia="cs-CZ"/>
              </w:rPr>
              <w:br/>
              <w:t>(mil. Kč)</w:t>
            </w:r>
          </w:p>
        </w:tc>
        <w:tc>
          <w:tcPr>
            <w:tcW w:w="488" w:type="pct"/>
            <w:shd w:val="clear" w:color="auto" w:fill="B9E0F7" w:themeFill="accent5"/>
            <w:vAlign w:val="center"/>
            <w:hideMark/>
          </w:tcPr>
          <w:p w14:paraId="4C72EFCA" w14:textId="77777777" w:rsidR="00195975" w:rsidRPr="00312911" w:rsidRDefault="00195975" w:rsidP="00365DF1">
            <w:pPr>
              <w:spacing w:after="0" w:line="240" w:lineRule="auto"/>
              <w:jc w:val="center"/>
              <w:rPr>
                <w:rFonts w:eastAsia="Times New Roman" w:cs="Times New Roman"/>
                <w:color w:val="000000"/>
                <w:szCs w:val="20"/>
                <w:lang w:eastAsia="cs-CZ"/>
              </w:rPr>
            </w:pPr>
            <w:r w:rsidRPr="00312911">
              <w:rPr>
                <w:rFonts w:eastAsia="Times New Roman" w:cs="Times New Roman"/>
                <w:color w:val="000000"/>
                <w:szCs w:val="20"/>
                <w:lang w:eastAsia="cs-CZ"/>
              </w:rPr>
              <w:t>Intenzita podpory</w:t>
            </w:r>
          </w:p>
        </w:tc>
      </w:tr>
      <w:tr w:rsidR="000D579D" w:rsidRPr="00801879" w14:paraId="3F869A71" w14:textId="77777777" w:rsidTr="00395DAD">
        <w:trPr>
          <w:trHeight w:val="340"/>
        </w:trPr>
        <w:tc>
          <w:tcPr>
            <w:tcW w:w="2086" w:type="pct"/>
            <w:shd w:val="clear" w:color="auto" w:fill="auto"/>
            <w:vAlign w:val="center"/>
            <w:hideMark/>
          </w:tcPr>
          <w:p w14:paraId="7B59E398" w14:textId="0EA09772"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28 - Výroba strojů a zařízení j. n.</w:t>
            </w:r>
          </w:p>
        </w:tc>
        <w:tc>
          <w:tcPr>
            <w:tcW w:w="499" w:type="pct"/>
            <w:shd w:val="clear" w:color="auto" w:fill="auto"/>
            <w:noWrap/>
            <w:vAlign w:val="center"/>
          </w:tcPr>
          <w:p w14:paraId="427D465D" w14:textId="717CDFC6"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93</w:t>
            </w:r>
          </w:p>
        </w:tc>
        <w:tc>
          <w:tcPr>
            <w:tcW w:w="671" w:type="pct"/>
            <w:shd w:val="clear" w:color="auto" w:fill="auto"/>
            <w:noWrap/>
            <w:vAlign w:val="center"/>
          </w:tcPr>
          <w:p w14:paraId="5B013945" w14:textId="5EA1A038"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2 439</w:t>
            </w:r>
          </w:p>
        </w:tc>
        <w:tc>
          <w:tcPr>
            <w:tcW w:w="674" w:type="pct"/>
            <w:shd w:val="clear" w:color="auto" w:fill="auto"/>
            <w:noWrap/>
            <w:vAlign w:val="center"/>
          </w:tcPr>
          <w:p w14:paraId="58FF03F3" w14:textId="798C76C2"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26,2</w:t>
            </w:r>
          </w:p>
        </w:tc>
        <w:tc>
          <w:tcPr>
            <w:tcW w:w="582" w:type="pct"/>
            <w:shd w:val="clear" w:color="auto" w:fill="auto"/>
            <w:noWrap/>
            <w:vAlign w:val="center"/>
          </w:tcPr>
          <w:p w14:paraId="4A477318" w14:textId="1CB4D85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1 550</w:t>
            </w:r>
          </w:p>
        </w:tc>
        <w:tc>
          <w:tcPr>
            <w:tcW w:w="488" w:type="pct"/>
            <w:shd w:val="clear" w:color="auto" w:fill="auto"/>
            <w:noWrap/>
            <w:vAlign w:val="center"/>
          </w:tcPr>
          <w:p w14:paraId="32173630" w14:textId="5F6483F5"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64</w:t>
            </w:r>
            <w:r w:rsidR="00AB4A9C">
              <w:rPr>
                <w:rFonts w:ascii="Calibri" w:hAnsi="Calibri" w:cs="Calibri"/>
                <w:color w:val="000000"/>
              </w:rPr>
              <w:t xml:space="preserve"> </w:t>
            </w:r>
            <w:r>
              <w:rPr>
                <w:rFonts w:ascii="Calibri" w:hAnsi="Calibri" w:cs="Calibri"/>
                <w:color w:val="000000"/>
              </w:rPr>
              <w:t>%</w:t>
            </w:r>
          </w:p>
        </w:tc>
      </w:tr>
      <w:tr w:rsidR="000D579D" w:rsidRPr="00801879" w14:paraId="12993A75" w14:textId="77777777" w:rsidTr="00395DAD">
        <w:trPr>
          <w:trHeight w:val="340"/>
        </w:trPr>
        <w:tc>
          <w:tcPr>
            <w:tcW w:w="2086" w:type="pct"/>
            <w:shd w:val="clear" w:color="auto" w:fill="auto"/>
            <w:vAlign w:val="center"/>
            <w:hideMark/>
          </w:tcPr>
          <w:p w14:paraId="29DFB413" w14:textId="41DEABE8"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26 - Výroba počítačů, elektronických a optických přístrojů a zařízení</w:t>
            </w:r>
          </w:p>
        </w:tc>
        <w:tc>
          <w:tcPr>
            <w:tcW w:w="499" w:type="pct"/>
            <w:shd w:val="clear" w:color="auto" w:fill="auto"/>
            <w:noWrap/>
            <w:vAlign w:val="center"/>
          </w:tcPr>
          <w:p w14:paraId="060BFA46" w14:textId="6E094CC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83</w:t>
            </w:r>
          </w:p>
        </w:tc>
        <w:tc>
          <w:tcPr>
            <w:tcW w:w="671" w:type="pct"/>
            <w:shd w:val="clear" w:color="auto" w:fill="auto"/>
            <w:noWrap/>
            <w:vAlign w:val="center"/>
          </w:tcPr>
          <w:p w14:paraId="148CF9D8" w14:textId="75D2E0E1"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2 128</w:t>
            </w:r>
          </w:p>
        </w:tc>
        <w:tc>
          <w:tcPr>
            <w:tcW w:w="674" w:type="pct"/>
            <w:shd w:val="clear" w:color="auto" w:fill="auto"/>
            <w:noWrap/>
            <w:vAlign w:val="center"/>
          </w:tcPr>
          <w:p w14:paraId="7F597F99" w14:textId="360A044F"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25,6</w:t>
            </w:r>
          </w:p>
        </w:tc>
        <w:tc>
          <w:tcPr>
            <w:tcW w:w="582" w:type="pct"/>
            <w:shd w:val="clear" w:color="auto" w:fill="auto"/>
            <w:noWrap/>
            <w:vAlign w:val="center"/>
          </w:tcPr>
          <w:p w14:paraId="27811043" w14:textId="39542C2F"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1 384</w:t>
            </w:r>
          </w:p>
        </w:tc>
        <w:tc>
          <w:tcPr>
            <w:tcW w:w="488" w:type="pct"/>
            <w:shd w:val="clear" w:color="auto" w:fill="auto"/>
            <w:noWrap/>
            <w:vAlign w:val="center"/>
          </w:tcPr>
          <w:p w14:paraId="1D59A199" w14:textId="2E273196"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65</w:t>
            </w:r>
            <w:r w:rsidR="00AB4A9C">
              <w:rPr>
                <w:rFonts w:ascii="Calibri" w:hAnsi="Calibri" w:cs="Calibri"/>
                <w:color w:val="000000"/>
              </w:rPr>
              <w:t xml:space="preserve"> </w:t>
            </w:r>
            <w:r>
              <w:rPr>
                <w:rFonts w:ascii="Calibri" w:hAnsi="Calibri" w:cs="Calibri"/>
                <w:color w:val="000000"/>
              </w:rPr>
              <w:t>%</w:t>
            </w:r>
          </w:p>
        </w:tc>
      </w:tr>
      <w:tr w:rsidR="000D579D" w:rsidRPr="00801879" w14:paraId="32CD5783" w14:textId="77777777" w:rsidTr="00395DAD">
        <w:trPr>
          <w:trHeight w:val="340"/>
        </w:trPr>
        <w:tc>
          <w:tcPr>
            <w:tcW w:w="2086" w:type="pct"/>
            <w:shd w:val="clear" w:color="auto" w:fill="auto"/>
            <w:vAlign w:val="center"/>
            <w:hideMark/>
          </w:tcPr>
          <w:p w14:paraId="1B64661C" w14:textId="5CE35012"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27 - Výroba elektrických zařízení</w:t>
            </w:r>
          </w:p>
        </w:tc>
        <w:tc>
          <w:tcPr>
            <w:tcW w:w="499" w:type="pct"/>
            <w:shd w:val="clear" w:color="auto" w:fill="auto"/>
            <w:noWrap/>
            <w:vAlign w:val="center"/>
          </w:tcPr>
          <w:p w14:paraId="75ADFE36" w14:textId="1783B70E"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34</w:t>
            </w:r>
          </w:p>
        </w:tc>
        <w:tc>
          <w:tcPr>
            <w:tcW w:w="671" w:type="pct"/>
            <w:shd w:val="clear" w:color="auto" w:fill="auto"/>
            <w:noWrap/>
            <w:vAlign w:val="center"/>
          </w:tcPr>
          <w:p w14:paraId="2EFE46BE" w14:textId="331258DF"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852</w:t>
            </w:r>
          </w:p>
        </w:tc>
        <w:tc>
          <w:tcPr>
            <w:tcW w:w="674" w:type="pct"/>
            <w:shd w:val="clear" w:color="auto" w:fill="auto"/>
            <w:noWrap/>
            <w:vAlign w:val="center"/>
          </w:tcPr>
          <w:p w14:paraId="6BECBADE" w14:textId="61E8331C"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25,1</w:t>
            </w:r>
          </w:p>
        </w:tc>
        <w:tc>
          <w:tcPr>
            <w:tcW w:w="582" w:type="pct"/>
            <w:shd w:val="clear" w:color="auto" w:fill="auto"/>
            <w:noWrap/>
            <w:vAlign w:val="center"/>
          </w:tcPr>
          <w:p w14:paraId="73C9BA4D" w14:textId="23FD99AE"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508</w:t>
            </w:r>
          </w:p>
        </w:tc>
        <w:tc>
          <w:tcPr>
            <w:tcW w:w="488" w:type="pct"/>
            <w:shd w:val="clear" w:color="auto" w:fill="auto"/>
            <w:noWrap/>
            <w:vAlign w:val="center"/>
          </w:tcPr>
          <w:p w14:paraId="1CFD0C4B" w14:textId="30A60A5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60</w:t>
            </w:r>
            <w:r w:rsidR="00AB4A9C">
              <w:rPr>
                <w:rFonts w:ascii="Calibri" w:hAnsi="Calibri" w:cs="Calibri"/>
                <w:color w:val="000000"/>
              </w:rPr>
              <w:t xml:space="preserve"> </w:t>
            </w:r>
            <w:r>
              <w:rPr>
                <w:rFonts w:ascii="Calibri" w:hAnsi="Calibri" w:cs="Calibri"/>
                <w:color w:val="000000"/>
              </w:rPr>
              <w:t>%</w:t>
            </w:r>
          </w:p>
        </w:tc>
      </w:tr>
      <w:tr w:rsidR="000D579D" w:rsidRPr="00801879" w14:paraId="040C3E68" w14:textId="77777777" w:rsidTr="00395DAD">
        <w:trPr>
          <w:trHeight w:val="340"/>
        </w:trPr>
        <w:tc>
          <w:tcPr>
            <w:tcW w:w="2086" w:type="pct"/>
            <w:shd w:val="clear" w:color="auto" w:fill="auto"/>
            <w:vAlign w:val="center"/>
            <w:hideMark/>
          </w:tcPr>
          <w:p w14:paraId="0AA31442" w14:textId="19FC54B5"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30 - Výroba ostatních dopravních prostředků a zařízení</w:t>
            </w:r>
          </w:p>
        </w:tc>
        <w:tc>
          <w:tcPr>
            <w:tcW w:w="499" w:type="pct"/>
            <w:shd w:val="clear" w:color="auto" w:fill="auto"/>
            <w:noWrap/>
            <w:vAlign w:val="center"/>
          </w:tcPr>
          <w:p w14:paraId="2D4CEF62" w14:textId="004A68FE"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28</w:t>
            </w:r>
          </w:p>
        </w:tc>
        <w:tc>
          <w:tcPr>
            <w:tcW w:w="671" w:type="pct"/>
            <w:shd w:val="clear" w:color="auto" w:fill="auto"/>
            <w:noWrap/>
            <w:vAlign w:val="center"/>
          </w:tcPr>
          <w:p w14:paraId="7B886069" w14:textId="41AA8575"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963</w:t>
            </w:r>
          </w:p>
        </w:tc>
        <w:tc>
          <w:tcPr>
            <w:tcW w:w="674" w:type="pct"/>
            <w:shd w:val="clear" w:color="auto" w:fill="auto"/>
            <w:noWrap/>
            <w:vAlign w:val="center"/>
          </w:tcPr>
          <w:p w14:paraId="39E785DE" w14:textId="45CEA149"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34,4</w:t>
            </w:r>
          </w:p>
        </w:tc>
        <w:tc>
          <w:tcPr>
            <w:tcW w:w="582" w:type="pct"/>
            <w:shd w:val="clear" w:color="auto" w:fill="auto"/>
            <w:noWrap/>
            <w:vAlign w:val="center"/>
          </w:tcPr>
          <w:p w14:paraId="02077AE1" w14:textId="230E5632"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605</w:t>
            </w:r>
          </w:p>
        </w:tc>
        <w:tc>
          <w:tcPr>
            <w:tcW w:w="488" w:type="pct"/>
            <w:shd w:val="clear" w:color="auto" w:fill="auto"/>
            <w:noWrap/>
            <w:vAlign w:val="center"/>
          </w:tcPr>
          <w:p w14:paraId="7401CC6C" w14:textId="6CE71340"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63</w:t>
            </w:r>
            <w:r w:rsidR="00AB4A9C">
              <w:rPr>
                <w:rFonts w:ascii="Calibri" w:hAnsi="Calibri" w:cs="Calibri"/>
                <w:color w:val="000000"/>
              </w:rPr>
              <w:t xml:space="preserve"> </w:t>
            </w:r>
            <w:r>
              <w:rPr>
                <w:rFonts w:ascii="Calibri" w:hAnsi="Calibri" w:cs="Calibri"/>
                <w:color w:val="000000"/>
              </w:rPr>
              <w:t>%</w:t>
            </w:r>
          </w:p>
        </w:tc>
      </w:tr>
      <w:tr w:rsidR="000D579D" w:rsidRPr="00801879" w14:paraId="3777B443" w14:textId="77777777" w:rsidTr="00395DAD">
        <w:trPr>
          <w:trHeight w:val="340"/>
        </w:trPr>
        <w:tc>
          <w:tcPr>
            <w:tcW w:w="2086" w:type="pct"/>
            <w:shd w:val="clear" w:color="auto" w:fill="auto"/>
            <w:vAlign w:val="center"/>
            <w:hideMark/>
          </w:tcPr>
          <w:p w14:paraId="64C2C6DD" w14:textId="3AD36676"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20 - Výroba chemických látek a chemických přípravků</w:t>
            </w:r>
          </w:p>
        </w:tc>
        <w:tc>
          <w:tcPr>
            <w:tcW w:w="499" w:type="pct"/>
            <w:shd w:val="clear" w:color="auto" w:fill="auto"/>
            <w:noWrap/>
            <w:vAlign w:val="center"/>
          </w:tcPr>
          <w:p w14:paraId="1F53F723" w14:textId="5B0E889E"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w:t>
            </w:r>
          </w:p>
        </w:tc>
        <w:tc>
          <w:tcPr>
            <w:tcW w:w="671" w:type="pct"/>
            <w:shd w:val="clear" w:color="auto" w:fill="auto"/>
            <w:noWrap/>
            <w:vAlign w:val="center"/>
          </w:tcPr>
          <w:p w14:paraId="733CADF0" w14:textId="579C07BD"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546</w:t>
            </w:r>
          </w:p>
        </w:tc>
        <w:tc>
          <w:tcPr>
            <w:tcW w:w="674" w:type="pct"/>
            <w:shd w:val="clear" w:color="auto" w:fill="auto"/>
            <w:noWrap/>
            <w:vAlign w:val="center"/>
          </w:tcPr>
          <w:p w14:paraId="79E9C12D" w14:textId="17E1BE8C"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21,8</w:t>
            </w:r>
          </w:p>
        </w:tc>
        <w:tc>
          <w:tcPr>
            <w:tcW w:w="582" w:type="pct"/>
            <w:shd w:val="clear" w:color="auto" w:fill="auto"/>
            <w:noWrap/>
            <w:vAlign w:val="center"/>
          </w:tcPr>
          <w:p w14:paraId="17A4D842" w14:textId="4A57AF0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370</w:t>
            </w:r>
          </w:p>
        </w:tc>
        <w:tc>
          <w:tcPr>
            <w:tcW w:w="488" w:type="pct"/>
            <w:shd w:val="clear" w:color="auto" w:fill="auto"/>
            <w:noWrap/>
            <w:vAlign w:val="center"/>
          </w:tcPr>
          <w:p w14:paraId="2A0907A9" w14:textId="77DA7D2D"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68</w:t>
            </w:r>
            <w:r w:rsidR="00AB4A9C">
              <w:rPr>
                <w:rFonts w:ascii="Calibri" w:hAnsi="Calibri" w:cs="Calibri"/>
                <w:color w:val="000000"/>
              </w:rPr>
              <w:t xml:space="preserve"> </w:t>
            </w:r>
            <w:r>
              <w:rPr>
                <w:rFonts w:ascii="Calibri" w:hAnsi="Calibri" w:cs="Calibri"/>
                <w:color w:val="000000"/>
              </w:rPr>
              <w:t>%</w:t>
            </w:r>
          </w:p>
        </w:tc>
      </w:tr>
      <w:tr w:rsidR="000D579D" w:rsidRPr="00801879" w14:paraId="64EDB50E" w14:textId="77777777" w:rsidTr="00395DAD">
        <w:trPr>
          <w:trHeight w:val="340"/>
        </w:trPr>
        <w:tc>
          <w:tcPr>
            <w:tcW w:w="2086" w:type="pct"/>
            <w:shd w:val="clear" w:color="auto" w:fill="auto"/>
            <w:vAlign w:val="center"/>
            <w:hideMark/>
          </w:tcPr>
          <w:p w14:paraId="064B4E54" w14:textId="1977442A"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21 - Výroba základních farmaceutických výrobků a farmaceutických přípravků</w:t>
            </w:r>
          </w:p>
        </w:tc>
        <w:tc>
          <w:tcPr>
            <w:tcW w:w="499" w:type="pct"/>
            <w:shd w:val="clear" w:color="auto" w:fill="auto"/>
            <w:noWrap/>
            <w:vAlign w:val="center"/>
          </w:tcPr>
          <w:p w14:paraId="120893C8" w14:textId="0F7EB2E3"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w:t>
            </w:r>
          </w:p>
        </w:tc>
        <w:tc>
          <w:tcPr>
            <w:tcW w:w="671" w:type="pct"/>
            <w:shd w:val="clear" w:color="auto" w:fill="auto"/>
            <w:noWrap/>
            <w:vAlign w:val="center"/>
          </w:tcPr>
          <w:p w14:paraId="6E1A1A06" w14:textId="0AA167B7"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638</w:t>
            </w:r>
          </w:p>
        </w:tc>
        <w:tc>
          <w:tcPr>
            <w:tcW w:w="674" w:type="pct"/>
            <w:shd w:val="clear" w:color="auto" w:fill="auto"/>
            <w:noWrap/>
            <w:vAlign w:val="center"/>
          </w:tcPr>
          <w:p w14:paraId="7A65451F" w14:textId="6D148243"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25,5</w:t>
            </w:r>
          </w:p>
        </w:tc>
        <w:tc>
          <w:tcPr>
            <w:tcW w:w="582" w:type="pct"/>
            <w:shd w:val="clear" w:color="auto" w:fill="auto"/>
            <w:noWrap/>
            <w:vAlign w:val="center"/>
          </w:tcPr>
          <w:p w14:paraId="1A19BAAA" w14:textId="46D639AD"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412</w:t>
            </w:r>
          </w:p>
        </w:tc>
        <w:tc>
          <w:tcPr>
            <w:tcW w:w="488" w:type="pct"/>
            <w:shd w:val="clear" w:color="auto" w:fill="auto"/>
            <w:noWrap/>
            <w:vAlign w:val="center"/>
          </w:tcPr>
          <w:p w14:paraId="681ABDBC" w14:textId="14011C2A"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65</w:t>
            </w:r>
            <w:r w:rsidR="00AB4A9C">
              <w:rPr>
                <w:rFonts w:ascii="Calibri" w:hAnsi="Calibri" w:cs="Calibri"/>
                <w:color w:val="000000"/>
              </w:rPr>
              <w:t xml:space="preserve"> </w:t>
            </w:r>
            <w:r>
              <w:rPr>
                <w:rFonts w:ascii="Calibri" w:hAnsi="Calibri" w:cs="Calibri"/>
                <w:color w:val="000000"/>
              </w:rPr>
              <w:t>%</w:t>
            </w:r>
          </w:p>
        </w:tc>
      </w:tr>
      <w:tr w:rsidR="000D579D" w:rsidRPr="00801879" w14:paraId="57935D92" w14:textId="77777777" w:rsidTr="00395DAD">
        <w:trPr>
          <w:trHeight w:val="340"/>
        </w:trPr>
        <w:tc>
          <w:tcPr>
            <w:tcW w:w="2086" w:type="pct"/>
            <w:shd w:val="clear" w:color="auto" w:fill="auto"/>
            <w:vAlign w:val="center"/>
            <w:hideMark/>
          </w:tcPr>
          <w:p w14:paraId="0E47B92C" w14:textId="1ECD90B3"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23 - Výroba ostatních nekovových minerálních výrobků</w:t>
            </w:r>
          </w:p>
        </w:tc>
        <w:tc>
          <w:tcPr>
            <w:tcW w:w="499" w:type="pct"/>
            <w:shd w:val="clear" w:color="auto" w:fill="auto"/>
            <w:noWrap/>
            <w:vAlign w:val="center"/>
          </w:tcPr>
          <w:p w14:paraId="709793B7" w14:textId="4F34D51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23</w:t>
            </w:r>
          </w:p>
        </w:tc>
        <w:tc>
          <w:tcPr>
            <w:tcW w:w="671" w:type="pct"/>
            <w:shd w:val="clear" w:color="auto" w:fill="auto"/>
            <w:noWrap/>
            <w:vAlign w:val="center"/>
          </w:tcPr>
          <w:p w14:paraId="020ABF4E" w14:textId="38DF46FE"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585</w:t>
            </w:r>
          </w:p>
        </w:tc>
        <w:tc>
          <w:tcPr>
            <w:tcW w:w="674" w:type="pct"/>
            <w:shd w:val="clear" w:color="auto" w:fill="auto"/>
            <w:noWrap/>
            <w:vAlign w:val="center"/>
          </w:tcPr>
          <w:p w14:paraId="7159D57F" w14:textId="68B3593C"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25,4</w:t>
            </w:r>
          </w:p>
        </w:tc>
        <w:tc>
          <w:tcPr>
            <w:tcW w:w="582" w:type="pct"/>
            <w:shd w:val="clear" w:color="auto" w:fill="auto"/>
            <w:noWrap/>
            <w:vAlign w:val="center"/>
          </w:tcPr>
          <w:p w14:paraId="1E6051E4" w14:textId="4373404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387</w:t>
            </w:r>
          </w:p>
        </w:tc>
        <w:tc>
          <w:tcPr>
            <w:tcW w:w="488" w:type="pct"/>
            <w:shd w:val="clear" w:color="auto" w:fill="auto"/>
            <w:noWrap/>
            <w:vAlign w:val="center"/>
          </w:tcPr>
          <w:p w14:paraId="70325FD5" w14:textId="09A231A1"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66</w:t>
            </w:r>
            <w:r w:rsidR="00AB4A9C">
              <w:rPr>
                <w:rFonts w:ascii="Calibri" w:hAnsi="Calibri" w:cs="Calibri"/>
                <w:color w:val="000000"/>
              </w:rPr>
              <w:t xml:space="preserve"> </w:t>
            </w:r>
            <w:r>
              <w:rPr>
                <w:rFonts w:ascii="Calibri" w:hAnsi="Calibri" w:cs="Calibri"/>
                <w:color w:val="000000"/>
              </w:rPr>
              <w:t>%</w:t>
            </w:r>
          </w:p>
        </w:tc>
      </w:tr>
      <w:tr w:rsidR="000D579D" w:rsidRPr="00801879" w14:paraId="20C1E516" w14:textId="77777777" w:rsidTr="00395DAD">
        <w:trPr>
          <w:trHeight w:val="340"/>
        </w:trPr>
        <w:tc>
          <w:tcPr>
            <w:tcW w:w="2086" w:type="pct"/>
            <w:shd w:val="clear" w:color="auto" w:fill="auto"/>
            <w:vAlign w:val="center"/>
            <w:hideMark/>
          </w:tcPr>
          <w:p w14:paraId="4B799928" w14:textId="2BE44F36"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32 - Ostatní zpracovatelský průmysl</w:t>
            </w:r>
          </w:p>
        </w:tc>
        <w:tc>
          <w:tcPr>
            <w:tcW w:w="499" w:type="pct"/>
            <w:shd w:val="clear" w:color="auto" w:fill="auto"/>
            <w:noWrap/>
            <w:vAlign w:val="center"/>
          </w:tcPr>
          <w:p w14:paraId="12F57BAF" w14:textId="70BF87E8"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21</w:t>
            </w:r>
          </w:p>
        </w:tc>
        <w:tc>
          <w:tcPr>
            <w:tcW w:w="671" w:type="pct"/>
            <w:shd w:val="clear" w:color="auto" w:fill="auto"/>
            <w:noWrap/>
            <w:vAlign w:val="center"/>
          </w:tcPr>
          <w:p w14:paraId="6E96AE7B" w14:textId="7ECDBF72"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437</w:t>
            </w:r>
          </w:p>
        </w:tc>
        <w:tc>
          <w:tcPr>
            <w:tcW w:w="674" w:type="pct"/>
            <w:shd w:val="clear" w:color="auto" w:fill="auto"/>
            <w:noWrap/>
            <w:vAlign w:val="center"/>
          </w:tcPr>
          <w:p w14:paraId="25B09095" w14:textId="36367578"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20,8</w:t>
            </w:r>
          </w:p>
        </w:tc>
        <w:tc>
          <w:tcPr>
            <w:tcW w:w="582" w:type="pct"/>
            <w:shd w:val="clear" w:color="auto" w:fill="auto"/>
            <w:noWrap/>
            <w:vAlign w:val="center"/>
          </w:tcPr>
          <w:p w14:paraId="01A76D30" w14:textId="62455C93"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286</w:t>
            </w:r>
          </w:p>
        </w:tc>
        <w:tc>
          <w:tcPr>
            <w:tcW w:w="488" w:type="pct"/>
            <w:shd w:val="clear" w:color="auto" w:fill="auto"/>
            <w:noWrap/>
            <w:vAlign w:val="center"/>
          </w:tcPr>
          <w:p w14:paraId="0F1481BD" w14:textId="2E56B412"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65</w:t>
            </w:r>
            <w:r w:rsidR="00AB4A9C">
              <w:rPr>
                <w:rFonts w:ascii="Calibri" w:hAnsi="Calibri" w:cs="Calibri"/>
                <w:color w:val="000000"/>
              </w:rPr>
              <w:t xml:space="preserve"> </w:t>
            </w:r>
            <w:r>
              <w:rPr>
                <w:rFonts w:ascii="Calibri" w:hAnsi="Calibri" w:cs="Calibri"/>
                <w:color w:val="000000"/>
              </w:rPr>
              <w:t>%</w:t>
            </w:r>
          </w:p>
        </w:tc>
      </w:tr>
      <w:tr w:rsidR="000D579D" w:rsidRPr="00801879" w14:paraId="7B48CFAB" w14:textId="77777777" w:rsidTr="00395DAD">
        <w:trPr>
          <w:trHeight w:val="340"/>
        </w:trPr>
        <w:tc>
          <w:tcPr>
            <w:tcW w:w="2086" w:type="pct"/>
            <w:shd w:val="clear" w:color="auto" w:fill="auto"/>
            <w:vAlign w:val="center"/>
            <w:hideMark/>
          </w:tcPr>
          <w:p w14:paraId="497E4F87" w14:textId="38E2F0A8"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 xml:space="preserve">25 - Výroba kovových konstrukcí a kovodělných výrobků, kromě strojů a </w:t>
            </w:r>
            <w:r w:rsidR="00E91E48">
              <w:rPr>
                <w:rFonts w:ascii="Calibri" w:hAnsi="Calibri" w:cs="Calibri"/>
                <w:color w:val="000000"/>
              </w:rPr>
              <w:t>z</w:t>
            </w:r>
            <w:r>
              <w:rPr>
                <w:rFonts w:ascii="Calibri" w:hAnsi="Calibri" w:cs="Calibri"/>
                <w:color w:val="000000"/>
              </w:rPr>
              <w:t>ař</w:t>
            </w:r>
            <w:r w:rsidR="00E91E48">
              <w:rPr>
                <w:rFonts w:ascii="Calibri" w:hAnsi="Calibri" w:cs="Calibri"/>
                <w:color w:val="000000"/>
              </w:rPr>
              <w:t>.</w:t>
            </w:r>
          </w:p>
        </w:tc>
        <w:tc>
          <w:tcPr>
            <w:tcW w:w="499" w:type="pct"/>
            <w:shd w:val="clear" w:color="auto" w:fill="auto"/>
            <w:noWrap/>
            <w:vAlign w:val="center"/>
          </w:tcPr>
          <w:p w14:paraId="0DBDB7AA" w14:textId="6CFD5464"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18</w:t>
            </w:r>
          </w:p>
        </w:tc>
        <w:tc>
          <w:tcPr>
            <w:tcW w:w="671" w:type="pct"/>
            <w:shd w:val="clear" w:color="auto" w:fill="auto"/>
            <w:noWrap/>
            <w:vAlign w:val="center"/>
          </w:tcPr>
          <w:p w14:paraId="423BA6CF" w14:textId="4D9B8493"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424</w:t>
            </w:r>
          </w:p>
        </w:tc>
        <w:tc>
          <w:tcPr>
            <w:tcW w:w="674" w:type="pct"/>
            <w:shd w:val="clear" w:color="auto" w:fill="auto"/>
            <w:noWrap/>
            <w:vAlign w:val="center"/>
          </w:tcPr>
          <w:p w14:paraId="057B39EE" w14:textId="6239EC2B"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23,6</w:t>
            </w:r>
          </w:p>
        </w:tc>
        <w:tc>
          <w:tcPr>
            <w:tcW w:w="582" w:type="pct"/>
            <w:shd w:val="clear" w:color="auto" w:fill="auto"/>
            <w:noWrap/>
            <w:vAlign w:val="center"/>
          </w:tcPr>
          <w:p w14:paraId="636A140F" w14:textId="6326159F"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285</w:t>
            </w:r>
          </w:p>
        </w:tc>
        <w:tc>
          <w:tcPr>
            <w:tcW w:w="488" w:type="pct"/>
            <w:shd w:val="clear" w:color="auto" w:fill="auto"/>
            <w:noWrap/>
            <w:vAlign w:val="center"/>
          </w:tcPr>
          <w:p w14:paraId="779070EB" w14:textId="4F46F46C"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67</w:t>
            </w:r>
            <w:r w:rsidR="00AB4A9C">
              <w:rPr>
                <w:rFonts w:ascii="Calibri" w:hAnsi="Calibri" w:cs="Calibri"/>
                <w:color w:val="000000"/>
              </w:rPr>
              <w:t xml:space="preserve"> </w:t>
            </w:r>
            <w:r>
              <w:rPr>
                <w:rFonts w:ascii="Calibri" w:hAnsi="Calibri" w:cs="Calibri"/>
                <w:color w:val="000000"/>
              </w:rPr>
              <w:t>%</w:t>
            </w:r>
          </w:p>
        </w:tc>
      </w:tr>
      <w:tr w:rsidR="000D579D" w:rsidRPr="00801879" w14:paraId="0ABF51E8" w14:textId="77777777" w:rsidTr="00395DAD">
        <w:trPr>
          <w:trHeight w:val="340"/>
        </w:trPr>
        <w:tc>
          <w:tcPr>
            <w:tcW w:w="2086" w:type="pct"/>
            <w:shd w:val="clear" w:color="auto" w:fill="auto"/>
            <w:vAlign w:val="center"/>
            <w:hideMark/>
          </w:tcPr>
          <w:p w14:paraId="3353CD55" w14:textId="0B38B3DC" w:rsidR="000D579D" w:rsidRPr="00801879" w:rsidRDefault="000D579D" w:rsidP="000D579D">
            <w:pPr>
              <w:spacing w:after="0" w:line="240" w:lineRule="auto"/>
              <w:rPr>
                <w:rFonts w:ascii="Calibri" w:eastAsia="Times New Roman" w:hAnsi="Calibri" w:cs="Times New Roman"/>
                <w:color w:val="000000"/>
                <w:lang w:eastAsia="cs-CZ"/>
              </w:rPr>
            </w:pPr>
            <w:r>
              <w:rPr>
                <w:rFonts w:ascii="Calibri" w:hAnsi="Calibri" w:cs="Calibri"/>
                <w:color w:val="000000"/>
              </w:rPr>
              <w:t>22 - Výroba pryžových a plastových výrobků</w:t>
            </w:r>
          </w:p>
        </w:tc>
        <w:tc>
          <w:tcPr>
            <w:tcW w:w="499" w:type="pct"/>
            <w:shd w:val="clear" w:color="auto" w:fill="auto"/>
            <w:noWrap/>
            <w:vAlign w:val="center"/>
          </w:tcPr>
          <w:p w14:paraId="30F8F33F" w14:textId="1958C73B"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16</w:t>
            </w:r>
          </w:p>
        </w:tc>
        <w:tc>
          <w:tcPr>
            <w:tcW w:w="671" w:type="pct"/>
            <w:shd w:val="clear" w:color="auto" w:fill="auto"/>
            <w:noWrap/>
            <w:vAlign w:val="center"/>
          </w:tcPr>
          <w:p w14:paraId="599888A8" w14:textId="7DDFE0C5"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328</w:t>
            </w:r>
          </w:p>
        </w:tc>
        <w:tc>
          <w:tcPr>
            <w:tcW w:w="674" w:type="pct"/>
            <w:shd w:val="clear" w:color="auto" w:fill="auto"/>
            <w:noWrap/>
            <w:vAlign w:val="center"/>
          </w:tcPr>
          <w:p w14:paraId="4BBF8DE4" w14:textId="10BEEA91"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20,5</w:t>
            </w:r>
          </w:p>
        </w:tc>
        <w:tc>
          <w:tcPr>
            <w:tcW w:w="582" w:type="pct"/>
            <w:shd w:val="clear" w:color="auto" w:fill="auto"/>
            <w:noWrap/>
            <w:vAlign w:val="center"/>
          </w:tcPr>
          <w:p w14:paraId="0EB33D25" w14:textId="0739800A"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211</w:t>
            </w:r>
          </w:p>
        </w:tc>
        <w:tc>
          <w:tcPr>
            <w:tcW w:w="488" w:type="pct"/>
            <w:shd w:val="clear" w:color="auto" w:fill="auto"/>
            <w:noWrap/>
            <w:vAlign w:val="center"/>
          </w:tcPr>
          <w:p w14:paraId="0D3D7BB4" w14:textId="701BC3ED" w:rsidR="000D579D" w:rsidRPr="00801879" w:rsidRDefault="000D579D" w:rsidP="000D579D">
            <w:pPr>
              <w:spacing w:after="0" w:line="240" w:lineRule="auto"/>
              <w:jc w:val="right"/>
              <w:rPr>
                <w:rFonts w:eastAsia="Times New Roman" w:cs="Times New Roman"/>
                <w:color w:val="000000"/>
                <w:lang w:eastAsia="cs-CZ"/>
              </w:rPr>
            </w:pPr>
            <w:r>
              <w:rPr>
                <w:rFonts w:ascii="Calibri" w:hAnsi="Calibri" w:cs="Calibri"/>
                <w:color w:val="000000"/>
              </w:rPr>
              <w:t>64</w:t>
            </w:r>
            <w:r w:rsidR="00AB4A9C">
              <w:rPr>
                <w:rFonts w:ascii="Calibri" w:hAnsi="Calibri" w:cs="Calibri"/>
                <w:color w:val="000000"/>
              </w:rPr>
              <w:t xml:space="preserve"> </w:t>
            </w:r>
            <w:r>
              <w:rPr>
                <w:rFonts w:ascii="Calibri" w:hAnsi="Calibri" w:cs="Calibri"/>
                <w:color w:val="000000"/>
              </w:rPr>
              <w:t>%</w:t>
            </w:r>
          </w:p>
        </w:tc>
      </w:tr>
      <w:tr w:rsidR="000D579D" w:rsidRPr="00801879" w14:paraId="5E8F813A" w14:textId="77777777" w:rsidTr="00395DAD">
        <w:trPr>
          <w:trHeight w:val="340"/>
        </w:trPr>
        <w:tc>
          <w:tcPr>
            <w:tcW w:w="2086" w:type="pct"/>
            <w:shd w:val="clear" w:color="auto" w:fill="auto"/>
            <w:vAlign w:val="center"/>
          </w:tcPr>
          <w:p w14:paraId="20BBAE69" w14:textId="2C231751" w:rsidR="000D579D" w:rsidRDefault="000D579D" w:rsidP="000D579D">
            <w:pPr>
              <w:spacing w:after="0" w:line="240" w:lineRule="auto"/>
              <w:rPr>
                <w:rFonts w:ascii="Calibri" w:hAnsi="Calibri" w:cs="Calibri"/>
                <w:color w:val="000000"/>
              </w:rPr>
            </w:pPr>
            <w:r>
              <w:rPr>
                <w:rFonts w:ascii="Calibri" w:hAnsi="Calibri" w:cs="Calibri"/>
                <w:color w:val="000000"/>
              </w:rPr>
              <w:t>29 - Výroba motorových vozidel (kromě motocyklů), přívěsů a návěsů</w:t>
            </w:r>
          </w:p>
        </w:tc>
        <w:tc>
          <w:tcPr>
            <w:tcW w:w="499" w:type="pct"/>
            <w:shd w:val="clear" w:color="auto" w:fill="auto"/>
            <w:noWrap/>
            <w:vAlign w:val="center"/>
          </w:tcPr>
          <w:p w14:paraId="5B1EAF36" w14:textId="59424F59" w:rsidR="000D579D" w:rsidRDefault="000D579D" w:rsidP="000D579D">
            <w:pPr>
              <w:spacing w:after="0" w:line="240" w:lineRule="auto"/>
              <w:jc w:val="right"/>
              <w:rPr>
                <w:rFonts w:ascii="Calibri" w:hAnsi="Calibri" w:cs="Calibri"/>
                <w:color w:val="000000"/>
              </w:rPr>
            </w:pPr>
            <w:r>
              <w:rPr>
                <w:rFonts w:ascii="Calibri" w:hAnsi="Calibri" w:cs="Calibri"/>
                <w:color w:val="000000"/>
              </w:rPr>
              <w:t>15</w:t>
            </w:r>
          </w:p>
        </w:tc>
        <w:tc>
          <w:tcPr>
            <w:tcW w:w="671" w:type="pct"/>
            <w:shd w:val="clear" w:color="auto" w:fill="auto"/>
            <w:noWrap/>
            <w:vAlign w:val="center"/>
          </w:tcPr>
          <w:p w14:paraId="433485E1" w14:textId="5FEAE9C3" w:rsidR="000D579D" w:rsidRDefault="000D579D" w:rsidP="000D579D">
            <w:pPr>
              <w:spacing w:after="0" w:line="240" w:lineRule="auto"/>
              <w:jc w:val="right"/>
              <w:rPr>
                <w:rFonts w:ascii="Calibri" w:hAnsi="Calibri" w:cs="Calibri"/>
                <w:color w:val="000000"/>
              </w:rPr>
            </w:pPr>
            <w:r>
              <w:rPr>
                <w:rFonts w:ascii="Calibri" w:hAnsi="Calibri" w:cs="Calibri"/>
                <w:color w:val="000000"/>
              </w:rPr>
              <w:t>439</w:t>
            </w:r>
          </w:p>
        </w:tc>
        <w:tc>
          <w:tcPr>
            <w:tcW w:w="674" w:type="pct"/>
            <w:shd w:val="clear" w:color="auto" w:fill="auto"/>
            <w:noWrap/>
            <w:vAlign w:val="center"/>
          </w:tcPr>
          <w:p w14:paraId="5100EBB8" w14:textId="5216D546" w:rsidR="000D579D" w:rsidRDefault="000D579D" w:rsidP="000D579D">
            <w:pPr>
              <w:spacing w:after="0" w:line="240" w:lineRule="auto"/>
              <w:jc w:val="right"/>
              <w:rPr>
                <w:rFonts w:ascii="Calibri" w:hAnsi="Calibri" w:cs="Calibri"/>
                <w:color w:val="000000"/>
              </w:rPr>
            </w:pPr>
            <w:r>
              <w:rPr>
                <w:rFonts w:ascii="Calibri" w:hAnsi="Calibri" w:cs="Calibri"/>
                <w:color w:val="000000"/>
              </w:rPr>
              <w:t>29,3</w:t>
            </w:r>
          </w:p>
        </w:tc>
        <w:tc>
          <w:tcPr>
            <w:tcW w:w="582" w:type="pct"/>
            <w:shd w:val="clear" w:color="auto" w:fill="auto"/>
            <w:noWrap/>
            <w:vAlign w:val="center"/>
          </w:tcPr>
          <w:p w14:paraId="2B5FC9A9" w14:textId="5100CCCC" w:rsidR="000D579D" w:rsidRDefault="000D579D" w:rsidP="000D579D">
            <w:pPr>
              <w:spacing w:after="0" w:line="240" w:lineRule="auto"/>
              <w:jc w:val="right"/>
              <w:rPr>
                <w:rFonts w:ascii="Calibri" w:hAnsi="Calibri" w:cs="Calibri"/>
                <w:color w:val="000000"/>
              </w:rPr>
            </w:pPr>
            <w:r>
              <w:rPr>
                <w:rFonts w:ascii="Calibri" w:hAnsi="Calibri" w:cs="Calibri"/>
                <w:color w:val="000000"/>
              </w:rPr>
              <w:t>282</w:t>
            </w:r>
          </w:p>
        </w:tc>
        <w:tc>
          <w:tcPr>
            <w:tcW w:w="488" w:type="pct"/>
            <w:shd w:val="clear" w:color="auto" w:fill="auto"/>
            <w:noWrap/>
            <w:vAlign w:val="center"/>
          </w:tcPr>
          <w:p w14:paraId="14C82DBE" w14:textId="74383C20" w:rsidR="000D579D" w:rsidRDefault="000D579D" w:rsidP="000D579D">
            <w:pPr>
              <w:spacing w:after="0" w:line="240" w:lineRule="auto"/>
              <w:jc w:val="right"/>
              <w:rPr>
                <w:rFonts w:ascii="Calibri" w:hAnsi="Calibri" w:cs="Calibri"/>
                <w:color w:val="000000"/>
              </w:rPr>
            </w:pPr>
            <w:r>
              <w:rPr>
                <w:rFonts w:ascii="Calibri" w:hAnsi="Calibri" w:cs="Calibri"/>
                <w:color w:val="000000"/>
              </w:rPr>
              <w:t>64</w:t>
            </w:r>
            <w:r w:rsidR="00AB4A9C">
              <w:rPr>
                <w:rFonts w:ascii="Calibri" w:hAnsi="Calibri" w:cs="Calibri"/>
                <w:color w:val="000000"/>
              </w:rPr>
              <w:t xml:space="preserve"> </w:t>
            </w:r>
            <w:r>
              <w:rPr>
                <w:rFonts w:ascii="Calibri" w:hAnsi="Calibri" w:cs="Calibri"/>
                <w:color w:val="000000"/>
              </w:rPr>
              <w:t>%</w:t>
            </w:r>
          </w:p>
        </w:tc>
      </w:tr>
      <w:tr w:rsidR="000D579D" w:rsidRPr="00801879" w14:paraId="71E1831E" w14:textId="77777777" w:rsidTr="00395DAD">
        <w:trPr>
          <w:trHeight w:val="340"/>
        </w:trPr>
        <w:tc>
          <w:tcPr>
            <w:tcW w:w="2086" w:type="pct"/>
            <w:shd w:val="clear" w:color="auto" w:fill="auto"/>
            <w:vAlign w:val="center"/>
          </w:tcPr>
          <w:p w14:paraId="58F20FFC" w14:textId="1FB39482" w:rsidR="000D579D" w:rsidRDefault="000D579D" w:rsidP="000D579D">
            <w:pPr>
              <w:spacing w:after="0" w:line="240" w:lineRule="auto"/>
              <w:rPr>
                <w:rFonts w:ascii="Calibri" w:hAnsi="Calibri" w:cs="Calibri"/>
                <w:color w:val="000000"/>
              </w:rPr>
            </w:pPr>
            <w:r>
              <w:rPr>
                <w:rFonts w:ascii="Calibri" w:hAnsi="Calibri" w:cs="Calibri"/>
                <w:color w:val="000000"/>
              </w:rPr>
              <w:t>24 - Výroba základních kovů, hutní zpracování kovů, slévárenství</w:t>
            </w:r>
          </w:p>
        </w:tc>
        <w:tc>
          <w:tcPr>
            <w:tcW w:w="499" w:type="pct"/>
            <w:shd w:val="clear" w:color="auto" w:fill="auto"/>
            <w:noWrap/>
            <w:vAlign w:val="center"/>
          </w:tcPr>
          <w:p w14:paraId="595C14E1" w14:textId="47550522" w:rsidR="000D579D" w:rsidRDefault="000D579D" w:rsidP="000D579D">
            <w:pPr>
              <w:spacing w:after="0" w:line="240" w:lineRule="auto"/>
              <w:jc w:val="right"/>
              <w:rPr>
                <w:rFonts w:ascii="Calibri" w:hAnsi="Calibri" w:cs="Calibri"/>
                <w:color w:val="000000"/>
              </w:rPr>
            </w:pPr>
            <w:r>
              <w:rPr>
                <w:rFonts w:ascii="Calibri" w:hAnsi="Calibri" w:cs="Calibri"/>
                <w:color w:val="000000"/>
              </w:rPr>
              <w:t>10</w:t>
            </w:r>
          </w:p>
        </w:tc>
        <w:tc>
          <w:tcPr>
            <w:tcW w:w="671" w:type="pct"/>
            <w:shd w:val="clear" w:color="auto" w:fill="auto"/>
            <w:noWrap/>
            <w:vAlign w:val="center"/>
          </w:tcPr>
          <w:p w14:paraId="3C99EFE1" w14:textId="23B2D540" w:rsidR="000D579D" w:rsidRDefault="000D579D" w:rsidP="000D579D">
            <w:pPr>
              <w:spacing w:after="0" w:line="240" w:lineRule="auto"/>
              <w:jc w:val="right"/>
              <w:rPr>
                <w:rFonts w:ascii="Calibri" w:hAnsi="Calibri" w:cs="Calibri"/>
                <w:color w:val="000000"/>
              </w:rPr>
            </w:pPr>
            <w:r>
              <w:rPr>
                <w:rFonts w:ascii="Calibri" w:hAnsi="Calibri" w:cs="Calibri"/>
                <w:color w:val="000000"/>
              </w:rPr>
              <w:t>214</w:t>
            </w:r>
          </w:p>
        </w:tc>
        <w:tc>
          <w:tcPr>
            <w:tcW w:w="674" w:type="pct"/>
            <w:shd w:val="clear" w:color="auto" w:fill="auto"/>
            <w:noWrap/>
            <w:vAlign w:val="center"/>
          </w:tcPr>
          <w:p w14:paraId="7894530A" w14:textId="1EABC14F" w:rsidR="000D579D" w:rsidRDefault="000D579D" w:rsidP="000D579D">
            <w:pPr>
              <w:spacing w:after="0" w:line="240" w:lineRule="auto"/>
              <w:jc w:val="right"/>
              <w:rPr>
                <w:rFonts w:ascii="Calibri" w:hAnsi="Calibri" w:cs="Calibri"/>
                <w:color w:val="000000"/>
              </w:rPr>
            </w:pPr>
            <w:r>
              <w:rPr>
                <w:rFonts w:ascii="Calibri" w:hAnsi="Calibri" w:cs="Calibri"/>
                <w:color w:val="000000"/>
              </w:rPr>
              <w:t>21,4</w:t>
            </w:r>
          </w:p>
        </w:tc>
        <w:tc>
          <w:tcPr>
            <w:tcW w:w="582" w:type="pct"/>
            <w:shd w:val="clear" w:color="auto" w:fill="auto"/>
            <w:noWrap/>
            <w:vAlign w:val="center"/>
          </w:tcPr>
          <w:p w14:paraId="6D42B1B3" w14:textId="3E23AAFF" w:rsidR="000D579D" w:rsidRDefault="000D579D" w:rsidP="000D579D">
            <w:pPr>
              <w:spacing w:after="0" w:line="240" w:lineRule="auto"/>
              <w:jc w:val="right"/>
              <w:rPr>
                <w:rFonts w:ascii="Calibri" w:hAnsi="Calibri" w:cs="Calibri"/>
                <w:color w:val="000000"/>
              </w:rPr>
            </w:pPr>
            <w:r>
              <w:rPr>
                <w:rFonts w:ascii="Calibri" w:hAnsi="Calibri" w:cs="Calibri"/>
                <w:color w:val="000000"/>
              </w:rPr>
              <w:t>143</w:t>
            </w:r>
          </w:p>
        </w:tc>
        <w:tc>
          <w:tcPr>
            <w:tcW w:w="488" w:type="pct"/>
            <w:shd w:val="clear" w:color="auto" w:fill="auto"/>
            <w:noWrap/>
            <w:vAlign w:val="center"/>
          </w:tcPr>
          <w:p w14:paraId="32A7FEAA" w14:textId="2C67A085" w:rsidR="000D579D" w:rsidRDefault="000D579D" w:rsidP="000D579D">
            <w:pPr>
              <w:spacing w:after="0" w:line="240" w:lineRule="auto"/>
              <w:jc w:val="right"/>
              <w:rPr>
                <w:rFonts w:ascii="Calibri" w:hAnsi="Calibri" w:cs="Calibri"/>
                <w:color w:val="000000"/>
              </w:rPr>
            </w:pPr>
            <w:r>
              <w:rPr>
                <w:rFonts w:ascii="Calibri" w:hAnsi="Calibri" w:cs="Calibri"/>
                <w:color w:val="000000"/>
              </w:rPr>
              <w:t>67</w:t>
            </w:r>
            <w:r w:rsidR="00AB4A9C">
              <w:rPr>
                <w:rFonts w:ascii="Calibri" w:hAnsi="Calibri" w:cs="Calibri"/>
                <w:color w:val="000000"/>
              </w:rPr>
              <w:t xml:space="preserve"> </w:t>
            </w:r>
            <w:r>
              <w:rPr>
                <w:rFonts w:ascii="Calibri" w:hAnsi="Calibri" w:cs="Calibri"/>
                <w:color w:val="000000"/>
              </w:rPr>
              <w:t>%</w:t>
            </w:r>
          </w:p>
        </w:tc>
      </w:tr>
      <w:tr w:rsidR="000D579D" w:rsidRPr="00801879" w14:paraId="38968FB2" w14:textId="77777777" w:rsidTr="00395DAD">
        <w:trPr>
          <w:trHeight w:val="340"/>
        </w:trPr>
        <w:tc>
          <w:tcPr>
            <w:tcW w:w="2086" w:type="pct"/>
            <w:shd w:val="clear" w:color="auto" w:fill="auto"/>
            <w:vAlign w:val="center"/>
          </w:tcPr>
          <w:p w14:paraId="6EA977F1" w14:textId="614F658C" w:rsidR="000D579D" w:rsidRDefault="000D579D" w:rsidP="000D579D">
            <w:pPr>
              <w:spacing w:after="0" w:line="240" w:lineRule="auto"/>
              <w:rPr>
                <w:rFonts w:ascii="Calibri" w:hAnsi="Calibri" w:cs="Calibri"/>
                <w:color w:val="000000"/>
              </w:rPr>
            </w:pPr>
            <w:r>
              <w:rPr>
                <w:rFonts w:ascii="Calibri" w:hAnsi="Calibri" w:cs="Calibri"/>
                <w:color w:val="000000"/>
              </w:rPr>
              <w:t xml:space="preserve">13 - Výroba </w:t>
            </w:r>
            <w:r w:rsidR="00E91E48">
              <w:rPr>
                <w:rFonts w:ascii="Calibri" w:hAnsi="Calibri" w:cs="Calibri"/>
                <w:color w:val="000000"/>
              </w:rPr>
              <w:t>textilií</w:t>
            </w:r>
          </w:p>
        </w:tc>
        <w:tc>
          <w:tcPr>
            <w:tcW w:w="499" w:type="pct"/>
            <w:shd w:val="clear" w:color="auto" w:fill="auto"/>
            <w:noWrap/>
            <w:vAlign w:val="center"/>
          </w:tcPr>
          <w:p w14:paraId="766B41F9" w14:textId="75C5A1D1" w:rsidR="000D579D" w:rsidRDefault="000D579D" w:rsidP="000D579D">
            <w:pPr>
              <w:spacing w:after="0" w:line="240" w:lineRule="auto"/>
              <w:jc w:val="right"/>
              <w:rPr>
                <w:rFonts w:ascii="Calibri" w:hAnsi="Calibri" w:cs="Calibri"/>
                <w:color w:val="000000"/>
              </w:rPr>
            </w:pPr>
            <w:r>
              <w:rPr>
                <w:rFonts w:ascii="Calibri" w:hAnsi="Calibri" w:cs="Calibri"/>
                <w:color w:val="000000"/>
              </w:rPr>
              <w:t>10</w:t>
            </w:r>
          </w:p>
        </w:tc>
        <w:tc>
          <w:tcPr>
            <w:tcW w:w="671" w:type="pct"/>
            <w:shd w:val="clear" w:color="auto" w:fill="auto"/>
            <w:noWrap/>
            <w:vAlign w:val="center"/>
          </w:tcPr>
          <w:p w14:paraId="0BCEDD2E" w14:textId="39DDCD41" w:rsidR="000D579D" w:rsidRDefault="000D579D" w:rsidP="000D579D">
            <w:pPr>
              <w:spacing w:after="0" w:line="240" w:lineRule="auto"/>
              <w:jc w:val="right"/>
              <w:rPr>
                <w:rFonts w:ascii="Calibri" w:hAnsi="Calibri" w:cs="Calibri"/>
                <w:color w:val="000000"/>
              </w:rPr>
            </w:pPr>
            <w:r>
              <w:rPr>
                <w:rFonts w:ascii="Calibri" w:hAnsi="Calibri" w:cs="Calibri"/>
                <w:color w:val="000000"/>
              </w:rPr>
              <w:t>277</w:t>
            </w:r>
          </w:p>
        </w:tc>
        <w:tc>
          <w:tcPr>
            <w:tcW w:w="674" w:type="pct"/>
            <w:shd w:val="clear" w:color="auto" w:fill="auto"/>
            <w:noWrap/>
            <w:vAlign w:val="center"/>
          </w:tcPr>
          <w:p w14:paraId="1A07DA98" w14:textId="0D181A0C" w:rsidR="000D579D" w:rsidRDefault="000D579D" w:rsidP="000D579D">
            <w:pPr>
              <w:spacing w:after="0" w:line="240" w:lineRule="auto"/>
              <w:jc w:val="right"/>
              <w:rPr>
                <w:rFonts w:ascii="Calibri" w:hAnsi="Calibri" w:cs="Calibri"/>
                <w:color w:val="000000"/>
              </w:rPr>
            </w:pPr>
            <w:r>
              <w:rPr>
                <w:rFonts w:ascii="Calibri" w:hAnsi="Calibri" w:cs="Calibri"/>
                <w:color w:val="000000"/>
              </w:rPr>
              <w:t>27,7</w:t>
            </w:r>
          </w:p>
        </w:tc>
        <w:tc>
          <w:tcPr>
            <w:tcW w:w="582" w:type="pct"/>
            <w:shd w:val="clear" w:color="auto" w:fill="auto"/>
            <w:noWrap/>
            <w:vAlign w:val="center"/>
          </w:tcPr>
          <w:p w14:paraId="3A59CB7E" w14:textId="70ABF342" w:rsidR="000D579D" w:rsidRDefault="000D579D" w:rsidP="000D579D">
            <w:pPr>
              <w:spacing w:after="0" w:line="240" w:lineRule="auto"/>
              <w:jc w:val="right"/>
              <w:rPr>
                <w:rFonts w:ascii="Calibri" w:hAnsi="Calibri" w:cs="Calibri"/>
                <w:color w:val="000000"/>
              </w:rPr>
            </w:pPr>
            <w:r>
              <w:rPr>
                <w:rFonts w:ascii="Calibri" w:hAnsi="Calibri" w:cs="Calibri"/>
                <w:color w:val="000000"/>
              </w:rPr>
              <w:t>171</w:t>
            </w:r>
          </w:p>
        </w:tc>
        <w:tc>
          <w:tcPr>
            <w:tcW w:w="488" w:type="pct"/>
            <w:shd w:val="clear" w:color="auto" w:fill="auto"/>
            <w:noWrap/>
            <w:vAlign w:val="center"/>
          </w:tcPr>
          <w:p w14:paraId="21E0652F" w14:textId="1E85E2C3" w:rsidR="000D579D" w:rsidRDefault="000D579D" w:rsidP="000D579D">
            <w:pPr>
              <w:spacing w:after="0" w:line="240" w:lineRule="auto"/>
              <w:jc w:val="right"/>
              <w:rPr>
                <w:rFonts w:ascii="Calibri" w:hAnsi="Calibri" w:cs="Calibri"/>
                <w:color w:val="000000"/>
              </w:rPr>
            </w:pPr>
            <w:r>
              <w:rPr>
                <w:rFonts w:ascii="Calibri" w:hAnsi="Calibri" w:cs="Calibri"/>
                <w:color w:val="000000"/>
              </w:rPr>
              <w:t>62</w:t>
            </w:r>
            <w:r w:rsidR="00AB4A9C">
              <w:rPr>
                <w:rFonts w:ascii="Calibri" w:hAnsi="Calibri" w:cs="Calibri"/>
                <w:color w:val="000000"/>
              </w:rPr>
              <w:t xml:space="preserve"> </w:t>
            </w:r>
            <w:r>
              <w:rPr>
                <w:rFonts w:ascii="Calibri" w:hAnsi="Calibri" w:cs="Calibri"/>
                <w:color w:val="000000"/>
              </w:rPr>
              <w:t>%</w:t>
            </w:r>
          </w:p>
        </w:tc>
      </w:tr>
      <w:tr w:rsidR="009D1C2D" w:rsidRPr="00801879" w14:paraId="7C4198E7" w14:textId="77777777" w:rsidTr="00395DAD">
        <w:trPr>
          <w:trHeight w:val="340"/>
        </w:trPr>
        <w:tc>
          <w:tcPr>
            <w:tcW w:w="2086" w:type="pct"/>
            <w:shd w:val="clear" w:color="auto" w:fill="auto"/>
            <w:vAlign w:val="center"/>
            <w:hideMark/>
          </w:tcPr>
          <w:p w14:paraId="1FB22FD7" w14:textId="588C6D36" w:rsidR="009D1C2D" w:rsidRPr="00801879" w:rsidRDefault="009D1C2D" w:rsidP="0011699E">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w:t>
            </w:r>
          </w:p>
        </w:tc>
        <w:tc>
          <w:tcPr>
            <w:tcW w:w="499" w:type="pct"/>
            <w:shd w:val="clear" w:color="auto" w:fill="auto"/>
            <w:noWrap/>
            <w:vAlign w:val="center"/>
          </w:tcPr>
          <w:p w14:paraId="11E2143D" w14:textId="5E70DDBC" w:rsidR="009D1C2D" w:rsidRPr="00801879" w:rsidRDefault="009D1C2D" w:rsidP="0011699E">
            <w:pPr>
              <w:spacing w:after="0" w:line="240" w:lineRule="auto"/>
              <w:jc w:val="right"/>
              <w:rPr>
                <w:rFonts w:eastAsia="Times New Roman" w:cs="Times New Roman"/>
                <w:color w:val="000000"/>
                <w:lang w:eastAsia="cs-CZ"/>
              </w:rPr>
            </w:pPr>
            <w:r>
              <w:rPr>
                <w:rFonts w:eastAsia="Times New Roman" w:cs="Times New Roman"/>
                <w:color w:val="000000"/>
                <w:lang w:eastAsia="cs-CZ"/>
              </w:rPr>
              <w:t>…</w:t>
            </w:r>
          </w:p>
        </w:tc>
        <w:tc>
          <w:tcPr>
            <w:tcW w:w="671" w:type="pct"/>
            <w:shd w:val="clear" w:color="auto" w:fill="auto"/>
            <w:noWrap/>
            <w:vAlign w:val="center"/>
          </w:tcPr>
          <w:p w14:paraId="292F266D" w14:textId="13BBB29B" w:rsidR="009D1C2D" w:rsidRPr="00801879" w:rsidRDefault="009D1C2D" w:rsidP="0011699E">
            <w:pPr>
              <w:spacing w:after="0" w:line="240" w:lineRule="auto"/>
              <w:jc w:val="right"/>
              <w:rPr>
                <w:rFonts w:eastAsia="Times New Roman" w:cs="Times New Roman"/>
                <w:color w:val="000000"/>
                <w:lang w:eastAsia="cs-CZ"/>
              </w:rPr>
            </w:pPr>
            <w:r>
              <w:rPr>
                <w:rFonts w:eastAsia="Times New Roman" w:cs="Times New Roman"/>
                <w:color w:val="000000"/>
                <w:lang w:eastAsia="cs-CZ"/>
              </w:rPr>
              <w:t>…</w:t>
            </w:r>
          </w:p>
        </w:tc>
        <w:tc>
          <w:tcPr>
            <w:tcW w:w="674" w:type="pct"/>
            <w:shd w:val="clear" w:color="auto" w:fill="auto"/>
            <w:noWrap/>
            <w:vAlign w:val="center"/>
          </w:tcPr>
          <w:p w14:paraId="10E1FB44" w14:textId="0C099846" w:rsidR="009D1C2D" w:rsidRPr="00801879" w:rsidRDefault="009D1C2D" w:rsidP="0011699E">
            <w:pPr>
              <w:spacing w:after="0" w:line="240" w:lineRule="auto"/>
              <w:jc w:val="right"/>
              <w:rPr>
                <w:rFonts w:eastAsia="Times New Roman" w:cs="Times New Roman"/>
                <w:color w:val="000000"/>
                <w:lang w:eastAsia="cs-CZ"/>
              </w:rPr>
            </w:pPr>
            <w:r>
              <w:rPr>
                <w:rFonts w:eastAsia="Times New Roman" w:cs="Times New Roman"/>
                <w:color w:val="000000"/>
                <w:lang w:eastAsia="cs-CZ"/>
              </w:rPr>
              <w:t>…</w:t>
            </w:r>
          </w:p>
        </w:tc>
        <w:tc>
          <w:tcPr>
            <w:tcW w:w="582" w:type="pct"/>
            <w:shd w:val="clear" w:color="auto" w:fill="auto"/>
            <w:noWrap/>
            <w:vAlign w:val="center"/>
          </w:tcPr>
          <w:p w14:paraId="4871271C" w14:textId="6C5982E0" w:rsidR="009D1C2D" w:rsidRPr="00801879" w:rsidRDefault="009D1C2D" w:rsidP="0011699E">
            <w:pPr>
              <w:spacing w:after="0" w:line="240" w:lineRule="auto"/>
              <w:jc w:val="right"/>
              <w:rPr>
                <w:rFonts w:eastAsia="Times New Roman" w:cs="Times New Roman"/>
                <w:color w:val="000000"/>
                <w:lang w:eastAsia="cs-CZ"/>
              </w:rPr>
            </w:pPr>
            <w:r>
              <w:rPr>
                <w:rFonts w:eastAsia="Times New Roman" w:cs="Times New Roman"/>
                <w:color w:val="000000"/>
                <w:lang w:eastAsia="cs-CZ"/>
              </w:rPr>
              <w:t>…</w:t>
            </w:r>
          </w:p>
        </w:tc>
        <w:tc>
          <w:tcPr>
            <w:tcW w:w="488" w:type="pct"/>
            <w:shd w:val="clear" w:color="auto" w:fill="auto"/>
            <w:noWrap/>
            <w:vAlign w:val="center"/>
          </w:tcPr>
          <w:p w14:paraId="37F63AFC" w14:textId="57AB75C8" w:rsidR="009D1C2D" w:rsidRPr="00801879" w:rsidRDefault="009D1C2D" w:rsidP="0011699E">
            <w:pPr>
              <w:spacing w:after="0" w:line="240" w:lineRule="auto"/>
              <w:jc w:val="right"/>
              <w:rPr>
                <w:rFonts w:eastAsia="Times New Roman" w:cs="Times New Roman"/>
                <w:color w:val="000000"/>
                <w:lang w:eastAsia="cs-CZ"/>
              </w:rPr>
            </w:pPr>
            <w:r>
              <w:rPr>
                <w:rFonts w:eastAsia="Times New Roman" w:cs="Times New Roman"/>
                <w:color w:val="000000"/>
                <w:lang w:eastAsia="cs-CZ"/>
              </w:rPr>
              <w:t xml:space="preserve"> </w:t>
            </w:r>
            <w:r w:rsidR="00AB4A9C">
              <w:rPr>
                <w:rFonts w:eastAsia="Times New Roman" w:cs="Times New Roman"/>
                <w:color w:val="000000"/>
                <w:lang w:eastAsia="cs-CZ"/>
              </w:rPr>
              <w:t xml:space="preserve"> </w:t>
            </w:r>
            <w:r>
              <w:rPr>
                <w:rFonts w:eastAsia="Times New Roman" w:cs="Times New Roman"/>
                <w:color w:val="000000"/>
                <w:lang w:eastAsia="cs-CZ"/>
              </w:rPr>
              <w:t>…</w:t>
            </w:r>
          </w:p>
        </w:tc>
      </w:tr>
      <w:tr w:rsidR="009D1C2D" w:rsidRPr="00801879" w14:paraId="0153E5BA" w14:textId="77777777" w:rsidTr="00395DAD">
        <w:trPr>
          <w:trHeight w:val="340"/>
        </w:trPr>
        <w:tc>
          <w:tcPr>
            <w:tcW w:w="2086" w:type="pct"/>
            <w:shd w:val="clear" w:color="auto" w:fill="auto"/>
            <w:vAlign w:val="center"/>
            <w:hideMark/>
          </w:tcPr>
          <w:p w14:paraId="7B93E16E" w14:textId="77777777" w:rsidR="009D1C2D" w:rsidRPr="00801879" w:rsidRDefault="009D1C2D" w:rsidP="0011699E">
            <w:pPr>
              <w:spacing w:after="0" w:line="240" w:lineRule="auto"/>
              <w:rPr>
                <w:rFonts w:ascii="Calibri" w:eastAsia="Times New Roman" w:hAnsi="Calibri" w:cs="Times New Roman"/>
                <w:b/>
                <w:bCs/>
                <w:color w:val="000000"/>
                <w:lang w:eastAsia="cs-CZ"/>
              </w:rPr>
            </w:pPr>
            <w:r w:rsidRPr="00801879">
              <w:rPr>
                <w:rFonts w:ascii="Calibri" w:eastAsia="Times New Roman" w:hAnsi="Calibri" w:cs="Times New Roman"/>
                <w:b/>
                <w:bCs/>
                <w:color w:val="000000"/>
                <w:lang w:eastAsia="cs-CZ"/>
              </w:rPr>
              <w:t>CELKEM</w:t>
            </w:r>
          </w:p>
        </w:tc>
        <w:tc>
          <w:tcPr>
            <w:tcW w:w="499" w:type="pct"/>
            <w:shd w:val="clear" w:color="auto" w:fill="auto"/>
            <w:noWrap/>
            <w:vAlign w:val="center"/>
          </w:tcPr>
          <w:p w14:paraId="733C418D" w14:textId="66217F1D" w:rsidR="009D1C2D" w:rsidRPr="00801879" w:rsidRDefault="00E52D4A" w:rsidP="0011699E">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670</w:t>
            </w:r>
          </w:p>
        </w:tc>
        <w:tc>
          <w:tcPr>
            <w:tcW w:w="671" w:type="pct"/>
            <w:shd w:val="clear" w:color="auto" w:fill="auto"/>
            <w:noWrap/>
            <w:vAlign w:val="center"/>
          </w:tcPr>
          <w:p w14:paraId="69ABC385" w14:textId="58857CF5" w:rsidR="009D1C2D" w:rsidRPr="00801879" w:rsidRDefault="00E52D4A" w:rsidP="0011699E">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16</w:t>
            </w:r>
            <w:r w:rsidR="00E91E48">
              <w:rPr>
                <w:rFonts w:eastAsia="Times New Roman" w:cs="Times New Roman"/>
                <w:b/>
                <w:bCs/>
                <w:color w:val="000000"/>
                <w:lang w:eastAsia="cs-CZ"/>
              </w:rPr>
              <w:t xml:space="preserve"> </w:t>
            </w:r>
            <w:r>
              <w:rPr>
                <w:rFonts w:eastAsia="Times New Roman" w:cs="Times New Roman"/>
                <w:b/>
                <w:bCs/>
                <w:color w:val="000000"/>
                <w:lang w:eastAsia="cs-CZ"/>
              </w:rPr>
              <w:t>028</w:t>
            </w:r>
          </w:p>
        </w:tc>
        <w:tc>
          <w:tcPr>
            <w:tcW w:w="674" w:type="pct"/>
            <w:shd w:val="clear" w:color="auto" w:fill="auto"/>
            <w:noWrap/>
            <w:vAlign w:val="center"/>
          </w:tcPr>
          <w:p w14:paraId="7D78A48C" w14:textId="4C19DA54" w:rsidR="009D1C2D" w:rsidRPr="00801879" w:rsidRDefault="0090242A" w:rsidP="0011699E">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23,</w:t>
            </w:r>
            <w:r w:rsidR="00E52D4A">
              <w:rPr>
                <w:rFonts w:eastAsia="Times New Roman" w:cs="Times New Roman"/>
                <w:b/>
                <w:bCs/>
                <w:color w:val="000000"/>
                <w:lang w:eastAsia="cs-CZ"/>
              </w:rPr>
              <w:t>9</w:t>
            </w:r>
          </w:p>
        </w:tc>
        <w:tc>
          <w:tcPr>
            <w:tcW w:w="582" w:type="pct"/>
            <w:shd w:val="clear" w:color="auto" w:fill="auto"/>
            <w:noWrap/>
            <w:vAlign w:val="center"/>
          </w:tcPr>
          <w:p w14:paraId="184D89E5" w14:textId="0C3E70C7" w:rsidR="0090242A" w:rsidRPr="00801879" w:rsidRDefault="00E52D4A" w:rsidP="0011699E">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10</w:t>
            </w:r>
            <w:r w:rsidR="00AB4A9C">
              <w:rPr>
                <w:rFonts w:eastAsia="Times New Roman" w:cs="Times New Roman"/>
                <w:b/>
                <w:bCs/>
                <w:color w:val="000000"/>
                <w:lang w:eastAsia="cs-CZ"/>
              </w:rPr>
              <w:t xml:space="preserve"> </w:t>
            </w:r>
            <w:r>
              <w:rPr>
                <w:rFonts w:eastAsia="Times New Roman" w:cs="Times New Roman"/>
                <w:b/>
                <w:bCs/>
                <w:color w:val="000000"/>
                <w:lang w:eastAsia="cs-CZ"/>
              </w:rPr>
              <w:t>464</w:t>
            </w:r>
          </w:p>
        </w:tc>
        <w:tc>
          <w:tcPr>
            <w:tcW w:w="488" w:type="pct"/>
            <w:shd w:val="clear" w:color="auto" w:fill="auto"/>
            <w:noWrap/>
            <w:vAlign w:val="center"/>
          </w:tcPr>
          <w:p w14:paraId="71AFD38E" w14:textId="67D25CC9" w:rsidR="009D1C2D" w:rsidRPr="00801879" w:rsidRDefault="00C93162" w:rsidP="0011699E">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6</w:t>
            </w:r>
            <w:r w:rsidR="00E52D4A">
              <w:rPr>
                <w:rFonts w:eastAsia="Times New Roman" w:cs="Times New Roman"/>
                <w:b/>
                <w:bCs/>
                <w:color w:val="000000"/>
                <w:lang w:eastAsia="cs-CZ"/>
              </w:rPr>
              <w:t>5</w:t>
            </w:r>
            <w:r w:rsidR="00AB4A9C">
              <w:rPr>
                <w:rFonts w:eastAsia="Times New Roman" w:cs="Times New Roman"/>
                <w:b/>
                <w:bCs/>
                <w:color w:val="000000"/>
                <w:lang w:eastAsia="cs-CZ"/>
              </w:rPr>
              <w:t xml:space="preserve"> </w:t>
            </w:r>
            <w:r>
              <w:rPr>
                <w:rFonts w:eastAsia="Times New Roman" w:cs="Times New Roman"/>
                <w:b/>
                <w:bCs/>
                <w:color w:val="000000"/>
                <w:lang w:eastAsia="cs-CZ"/>
              </w:rPr>
              <w:t>%</w:t>
            </w:r>
          </w:p>
        </w:tc>
      </w:tr>
    </w:tbl>
    <w:p w14:paraId="5775632A" w14:textId="05AFE838" w:rsidR="00D511C2" w:rsidRDefault="00F1063E" w:rsidP="0042658C">
      <w:pPr>
        <w:spacing w:before="240" w:after="120"/>
        <w:jc w:val="both"/>
      </w:pPr>
      <w:r w:rsidRPr="0049435E">
        <w:rPr>
          <w:szCs w:val="28"/>
        </w:rPr>
        <w:t>Program přispívá k</w:t>
      </w:r>
      <w:r w:rsidR="00CE7C79" w:rsidRPr="0049435E">
        <w:rPr>
          <w:szCs w:val="28"/>
        </w:rPr>
        <w:t> </w:t>
      </w:r>
      <w:r w:rsidRPr="0049435E">
        <w:rPr>
          <w:szCs w:val="28"/>
        </w:rPr>
        <w:t>implementaci</w:t>
      </w:r>
      <w:r w:rsidR="007421C4" w:rsidRPr="0049435E">
        <w:rPr>
          <w:szCs w:val="28"/>
        </w:rPr>
        <w:t xml:space="preserve"> Národní</w:t>
      </w:r>
      <w:r w:rsidRPr="0049435E">
        <w:rPr>
          <w:szCs w:val="28"/>
        </w:rPr>
        <w:t xml:space="preserve"> RIS3 strategie</w:t>
      </w:r>
      <w:r w:rsidR="0008241A" w:rsidRPr="0049435E">
        <w:rPr>
          <w:szCs w:val="28"/>
        </w:rPr>
        <w:t xml:space="preserve">. Všechny podávané projekty </w:t>
      </w:r>
      <w:r w:rsidR="00D511C2" w:rsidRPr="0049435E">
        <w:t xml:space="preserve">se hlásily k prioritám jednotlivých </w:t>
      </w:r>
      <w:r w:rsidR="0008241A" w:rsidRPr="0049435E">
        <w:t xml:space="preserve">tematických oblastí, resp. </w:t>
      </w:r>
      <w:r w:rsidR="00D511C2" w:rsidRPr="0049435E">
        <w:t>aplikačních odvětví</w:t>
      </w:r>
      <w:r w:rsidR="0008241A" w:rsidRPr="0049435E">
        <w:t xml:space="preserve"> </w:t>
      </w:r>
      <w:r w:rsidR="0049435E">
        <w:t xml:space="preserve">nebo doménám výzkumné a inovační specializace </w:t>
      </w:r>
      <w:r w:rsidR="0008241A" w:rsidRPr="0049435E">
        <w:t>tak</w:t>
      </w:r>
      <w:r w:rsidR="00D511C2" w:rsidRPr="0049435E">
        <w:t xml:space="preserve">, jak je v danou chvíli definoval platný dokument </w:t>
      </w:r>
      <w:r w:rsidR="0008241A" w:rsidRPr="0049435E">
        <w:t>N</w:t>
      </w:r>
      <w:r w:rsidR="00D511C2" w:rsidRPr="0049435E">
        <w:t xml:space="preserve">árodní RIS3 strategie, podléhaly tedy </w:t>
      </w:r>
      <w:r w:rsidR="0008241A" w:rsidRPr="0049435E">
        <w:t xml:space="preserve">i jeho </w:t>
      </w:r>
      <w:r w:rsidR="00D511C2" w:rsidRPr="0049435E">
        <w:t xml:space="preserve">aktualizacím. Pro přehlednost jsou v tabulce sdružena </w:t>
      </w:r>
      <w:r w:rsidR="0008241A" w:rsidRPr="0049435E">
        <w:t xml:space="preserve">jednotlivá </w:t>
      </w:r>
      <w:r w:rsidR="00D511C2" w:rsidRPr="0049435E">
        <w:t xml:space="preserve">aplikační odvětví do </w:t>
      </w:r>
      <w:r w:rsidR="0008241A" w:rsidRPr="0049435E">
        <w:t>základních tematických</w:t>
      </w:r>
      <w:r w:rsidR="00D511C2" w:rsidRPr="0049435E">
        <w:t xml:space="preserve"> oblastí.</w:t>
      </w:r>
      <w:r w:rsidR="00D511C2" w:rsidRPr="00D511C2">
        <w:t xml:space="preserve"> </w:t>
      </w:r>
    </w:p>
    <w:p w14:paraId="075EB685" w14:textId="01156812" w:rsidR="0008241A" w:rsidRDefault="0008241A" w:rsidP="0042658C">
      <w:pPr>
        <w:spacing w:after="120"/>
        <w:jc w:val="both"/>
      </w:pPr>
      <w:r>
        <w:t>Tematická oblast Pokročilé stroje/technologie pro silný a globálně konkurenceschopný průmysl (zkráceně</w:t>
      </w:r>
      <w:r w:rsidR="0049435E">
        <w:t xml:space="preserve"> </w:t>
      </w:r>
      <w:r>
        <w:t>Pokročilé stroje a technologie) pokrývá čtyři aplikační odvětví – Strojírenství a mechatronika, Energetika,</w:t>
      </w:r>
      <w:r w:rsidR="0049435E">
        <w:t xml:space="preserve"> </w:t>
      </w:r>
      <w:r>
        <w:t>Hutnictví a Průmyslová chemie.</w:t>
      </w:r>
      <w:r w:rsidR="0049435E">
        <w:t xml:space="preserve"> V Programu jsou nejvíce zastoupeny projekty strojírenské a projekty v oblasti výzkumu materiálů.</w:t>
      </w:r>
    </w:p>
    <w:p w14:paraId="3DFED87B" w14:textId="51F0B1A7" w:rsidR="0008241A" w:rsidRDefault="0008241A" w:rsidP="0042658C">
      <w:pPr>
        <w:spacing w:after="120"/>
        <w:jc w:val="both"/>
      </w:pPr>
      <w:r>
        <w:t>Tematická oblast Digitální technologie a elektrotechnika zahrnuje dvě aplikační odvětví – Elektronika</w:t>
      </w:r>
      <w:r w:rsidR="0049435E">
        <w:t xml:space="preserve"> </w:t>
      </w:r>
      <w:r>
        <w:t>a</w:t>
      </w:r>
      <w:r w:rsidR="0049435E">
        <w:t> </w:t>
      </w:r>
      <w:r>
        <w:t>elektrotechnika a Digitální ekonomika</w:t>
      </w:r>
      <w:r w:rsidR="0049435E">
        <w:t xml:space="preserve">. </w:t>
      </w:r>
    </w:p>
    <w:p w14:paraId="4EF63F67" w14:textId="1808F47A" w:rsidR="0008241A" w:rsidRDefault="0049435E" w:rsidP="0042658C">
      <w:pPr>
        <w:spacing w:after="120"/>
        <w:jc w:val="both"/>
      </w:pPr>
      <w:r>
        <w:lastRenderedPageBreak/>
        <w:t>Tematická oblast Doprava pro 21. století zahrnuje tři aplikační odvětví – Automotive, Letecký a kosmický průmysl a Drážní doprava. Tato tematická oblast je</w:t>
      </w:r>
      <w:r w:rsidR="0042658C">
        <w:t xml:space="preserve"> oproti předchozím</w:t>
      </w:r>
      <w:r>
        <w:t xml:space="preserve"> již zastoupena relativně méně a</w:t>
      </w:r>
      <w:r w:rsidR="0042658C">
        <w:t> </w:t>
      </w:r>
      <w:r>
        <w:t xml:space="preserve">přibližně polovina zde řešených projektů je v oblasti </w:t>
      </w:r>
      <w:r w:rsidR="0042658C">
        <w:t>Automotive.</w:t>
      </w:r>
    </w:p>
    <w:p w14:paraId="7CBE6F00" w14:textId="596602AC" w:rsidR="0049435E" w:rsidRDefault="0049435E" w:rsidP="0042658C">
      <w:pPr>
        <w:spacing w:after="120"/>
        <w:jc w:val="both"/>
      </w:pPr>
      <w:r>
        <w:t>Tematická oblast Péče o zdraví, pokročilá medicína má pouze jedno aplikační odvětví Léčiva, biotechnologie, prostředky zdravotnické techniky a Life Sciences.</w:t>
      </w:r>
      <w:r w:rsidR="0042658C">
        <w:t xml:space="preserve"> Jde o poměrně významně zastoupenou oblast tradičně reprezentovanou hlavně zdravotnickými prostředky.</w:t>
      </w:r>
    </w:p>
    <w:p w14:paraId="504ABE35" w14:textId="1C325EDF" w:rsidR="0042658C" w:rsidRDefault="0042658C" w:rsidP="0042658C">
      <w:pPr>
        <w:spacing w:after="120"/>
        <w:jc w:val="both"/>
      </w:pPr>
      <w:r>
        <w:t>Oblast</w:t>
      </w:r>
      <w:r w:rsidR="0049435E">
        <w:t xml:space="preserve"> Kulturní a kreativní odvětví zahrnuje</w:t>
      </w:r>
      <w:r>
        <w:t xml:space="preserve"> jak</w:t>
      </w:r>
      <w:r w:rsidR="0049435E">
        <w:t xml:space="preserve"> technologicky založená aplikační odvětví, jako například sklářský nebo textilní průmysl</w:t>
      </w:r>
      <w:r>
        <w:t>, tak oblasti</w:t>
      </w:r>
      <w:r w:rsidR="0049435E">
        <w:t xml:space="preserve"> jako jsou média, kulturní dědictví, audiovizuální tvorba apod.</w:t>
      </w:r>
      <w:r>
        <w:t xml:space="preserve"> V rámci Programu se však k této oblasti hlásí jen naprosté minimum projektů.</w:t>
      </w:r>
    </w:p>
    <w:p w14:paraId="70A47CDD" w14:textId="4B3D9CB0" w:rsidR="0049435E" w:rsidRDefault="0049435E" w:rsidP="0042658C">
      <w:pPr>
        <w:spacing w:after="120"/>
        <w:jc w:val="both"/>
      </w:pPr>
      <w:r>
        <w:t xml:space="preserve">Tematická oblast Udržitelné zemědělství a environmentální aplikační odvětví obsahuje pět aplikačních odvětví </w:t>
      </w:r>
      <w:r w:rsidR="0042658C">
        <w:t>–</w:t>
      </w:r>
      <w:r>
        <w:t xml:space="preserve"> </w:t>
      </w:r>
      <w:r w:rsidR="0042658C">
        <w:t>zkráceně H</w:t>
      </w:r>
      <w:r>
        <w:t xml:space="preserve">ospodaření s přírodními zdroji, </w:t>
      </w:r>
      <w:r w:rsidR="0042658C">
        <w:t>Z</w:t>
      </w:r>
      <w:r>
        <w:t>emědělství a lesnictví</w:t>
      </w:r>
      <w:r w:rsidR="0042658C">
        <w:t>, P</w:t>
      </w:r>
      <w:r>
        <w:t>rodukce potravin, Životní prostředí a biodiverzita a Výstavba a lidská sídla</w:t>
      </w:r>
      <w:r w:rsidR="0042658C">
        <w:t>. V Programu jsou zastoupeny jak projekty v oblasti stavebnictví, tak projekty zaměřené na udržitelné hospodaření s různými přírodními zdroji.</w:t>
      </w:r>
    </w:p>
    <w:p w14:paraId="57690A35" w14:textId="1ED4F62F" w:rsidR="007D7108" w:rsidRDefault="007D7108" w:rsidP="00A7392F">
      <w:pPr>
        <w:pStyle w:val="Titulek"/>
      </w:pPr>
      <w:bookmarkStart w:id="41" w:name="_Toc150180772"/>
      <w:bookmarkStart w:id="42" w:name="_Toc185334584"/>
      <w:r w:rsidRPr="0008241A">
        <w:t xml:space="preserve">Tabulka </w:t>
      </w:r>
      <w:r w:rsidR="00353407">
        <w:fldChar w:fldCharType="begin"/>
      </w:r>
      <w:r w:rsidR="00353407">
        <w:instrText xml:space="preserve"> SEQ Tabulka \* ARABIC </w:instrText>
      </w:r>
      <w:r w:rsidR="00353407">
        <w:fldChar w:fldCharType="separate"/>
      </w:r>
      <w:r w:rsidR="00353407">
        <w:rPr>
          <w:noProof/>
        </w:rPr>
        <w:t>17</w:t>
      </w:r>
      <w:r w:rsidR="00353407">
        <w:rPr>
          <w:noProof/>
        </w:rPr>
        <w:fldChar w:fldCharType="end"/>
      </w:r>
      <w:r w:rsidRPr="0008241A">
        <w:t xml:space="preserve">: </w:t>
      </w:r>
      <w:r w:rsidR="00C4183E">
        <w:t>Podpořené projekty po</w:t>
      </w:r>
      <w:r w:rsidRPr="0008241A">
        <w:t xml:space="preserve">dle </w:t>
      </w:r>
      <w:r w:rsidR="00C4183E" w:rsidRPr="0008241A">
        <w:t>tematick</w:t>
      </w:r>
      <w:r w:rsidR="00C4183E">
        <w:t>ých</w:t>
      </w:r>
      <w:r w:rsidR="00C4183E" w:rsidRPr="0008241A">
        <w:t xml:space="preserve"> oblast</w:t>
      </w:r>
      <w:r w:rsidR="00C4183E">
        <w:t>í</w:t>
      </w:r>
      <w:r w:rsidR="00C4183E" w:rsidRPr="0008241A">
        <w:t xml:space="preserve"> </w:t>
      </w:r>
      <w:r w:rsidRPr="0008241A">
        <w:t>RIS3 strategie</w:t>
      </w:r>
      <w:bookmarkEnd w:id="41"/>
      <w:bookmarkEnd w:id="42"/>
    </w:p>
    <w:tbl>
      <w:tblPr>
        <w:tblW w:w="6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5"/>
        <w:gridCol w:w="992"/>
      </w:tblGrid>
      <w:tr w:rsidR="0008241A" w:rsidRPr="0005085A" w14:paraId="1386B1DE" w14:textId="77777777" w:rsidTr="0008241A">
        <w:trPr>
          <w:trHeight w:val="993"/>
        </w:trPr>
        <w:tc>
          <w:tcPr>
            <w:tcW w:w="5665" w:type="dxa"/>
            <w:shd w:val="clear" w:color="auto" w:fill="B9E0F7" w:themeFill="accent5"/>
            <w:vAlign w:val="center"/>
            <w:hideMark/>
          </w:tcPr>
          <w:p w14:paraId="57D0C1BF" w14:textId="77777777" w:rsidR="0008241A" w:rsidRPr="0005085A" w:rsidRDefault="0008241A" w:rsidP="00554B1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Hlavní oblast KETs</w:t>
            </w:r>
          </w:p>
        </w:tc>
        <w:tc>
          <w:tcPr>
            <w:tcW w:w="992" w:type="dxa"/>
            <w:shd w:val="clear" w:color="auto" w:fill="B9E0F7" w:themeFill="accent5"/>
            <w:vAlign w:val="center"/>
            <w:hideMark/>
          </w:tcPr>
          <w:p w14:paraId="7EA5A090" w14:textId="77777777" w:rsidR="0008241A" w:rsidRPr="0005085A" w:rsidRDefault="0008241A" w:rsidP="00554B1B">
            <w:pPr>
              <w:spacing w:after="0" w:line="240" w:lineRule="auto"/>
              <w:jc w:val="center"/>
              <w:rPr>
                <w:rFonts w:ascii="Calibri" w:eastAsia="Times New Roman" w:hAnsi="Calibri" w:cs="Times New Roman"/>
                <w:color w:val="000000"/>
                <w:lang w:eastAsia="cs-CZ"/>
              </w:rPr>
            </w:pPr>
            <w:r w:rsidRPr="0005085A">
              <w:rPr>
                <w:rFonts w:ascii="Calibri" w:eastAsia="Times New Roman" w:hAnsi="Calibri" w:cs="Times New Roman"/>
                <w:color w:val="000000"/>
                <w:lang w:eastAsia="cs-CZ"/>
              </w:rPr>
              <w:t xml:space="preserve">Počet </w:t>
            </w:r>
            <w:r w:rsidRPr="0005085A">
              <w:rPr>
                <w:rFonts w:ascii="Calibri" w:eastAsia="Times New Roman" w:hAnsi="Calibri" w:cs="Times New Roman"/>
                <w:color w:val="000000"/>
                <w:lang w:eastAsia="cs-CZ"/>
              </w:rPr>
              <w:br/>
              <w:t>projektů</w:t>
            </w:r>
          </w:p>
        </w:tc>
      </w:tr>
      <w:tr w:rsidR="0008241A" w:rsidRPr="00B65BF1" w14:paraId="3B81908F" w14:textId="77777777" w:rsidTr="0008241A">
        <w:trPr>
          <w:trHeight w:val="340"/>
        </w:trPr>
        <w:tc>
          <w:tcPr>
            <w:tcW w:w="5665" w:type="dxa"/>
            <w:shd w:val="clear" w:color="auto" w:fill="auto"/>
            <w:noWrap/>
            <w:vAlign w:val="center"/>
          </w:tcPr>
          <w:p w14:paraId="31624919" w14:textId="4FC2D587" w:rsidR="0008241A" w:rsidRPr="00B65BF1" w:rsidRDefault="0008241A" w:rsidP="0008241A">
            <w:pPr>
              <w:spacing w:after="0" w:line="240" w:lineRule="auto"/>
              <w:rPr>
                <w:rFonts w:ascii="Calibri" w:eastAsia="Times New Roman" w:hAnsi="Calibri" w:cs="Times New Roman"/>
                <w:color w:val="000000"/>
                <w:lang w:eastAsia="cs-CZ"/>
              </w:rPr>
            </w:pPr>
            <w:r>
              <w:rPr>
                <w:rFonts w:ascii="Calibri" w:hAnsi="Calibri" w:cs="Calibri"/>
                <w:color w:val="000000"/>
              </w:rPr>
              <w:t>Pokročilé stroje a technologie</w:t>
            </w:r>
          </w:p>
        </w:tc>
        <w:tc>
          <w:tcPr>
            <w:tcW w:w="992" w:type="dxa"/>
            <w:shd w:val="clear" w:color="auto" w:fill="auto"/>
            <w:noWrap/>
            <w:vAlign w:val="center"/>
          </w:tcPr>
          <w:p w14:paraId="229B0772" w14:textId="415F7108" w:rsidR="0008241A" w:rsidRPr="00B65BF1" w:rsidRDefault="0008241A" w:rsidP="0008241A">
            <w:pPr>
              <w:spacing w:after="0" w:line="240" w:lineRule="auto"/>
              <w:jc w:val="right"/>
              <w:rPr>
                <w:rFonts w:ascii="Calibri" w:eastAsia="Times New Roman" w:hAnsi="Calibri" w:cs="Times New Roman"/>
                <w:color w:val="000000"/>
                <w:lang w:eastAsia="cs-CZ"/>
              </w:rPr>
            </w:pPr>
            <w:r>
              <w:rPr>
                <w:rFonts w:ascii="Calibri" w:hAnsi="Calibri" w:cs="Calibri"/>
                <w:color w:val="000000"/>
              </w:rPr>
              <w:t>276</w:t>
            </w:r>
          </w:p>
        </w:tc>
      </w:tr>
      <w:tr w:rsidR="0008241A" w:rsidRPr="00B65BF1" w14:paraId="61F5E22A" w14:textId="77777777" w:rsidTr="0008241A">
        <w:trPr>
          <w:trHeight w:val="340"/>
        </w:trPr>
        <w:tc>
          <w:tcPr>
            <w:tcW w:w="5665" w:type="dxa"/>
            <w:shd w:val="clear" w:color="auto" w:fill="auto"/>
            <w:noWrap/>
            <w:vAlign w:val="center"/>
          </w:tcPr>
          <w:p w14:paraId="749385F4" w14:textId="1F938413" w:rsidR="0008241A" w:rsidRPr="00B65BF1" w:rsidRDefault="0008241A" w:rsidP="0008241A">
            <w:pPr>
              <w:spacing w:after="0" w:line="240" w:lineRule="auto"/>
              <w:rPr>
                <w:rFonts w:ascii="Calibri" w:eastAsia="Times New Roman" w:hAnsi="Calibri" w:cs="Times New Roman"/>
                <w:color w:val="000000"/>
                <w:lang w:eastAsia="cs-CZ"/>
              </w:rPr>
            </w:pPr>
            <w:r>
              <w:rPr>
                <w:rFonts w:ascii="Calibri" w:hAnsi="Calibri" w:cs="Calibri"/>
                <w:color w:val="000000"/>
              </w:rPr>
              <w:t>Digitální technologie a elektrotechnika</w:t>
            </w:r>
          </w:p>
        </w:tc>
        <w:tc>
          <w:tcPr>
            <w:tcW w:w="992" w:type="dxa"/>
            <w:shd w:val="clear" w:color="auto" w:fill="auto"/>
            <w:noWrap/>
            <w:vAlign w:val="center"/>
          </w:tcPr>
          <w:p w14:paraId="5A86D0D5" w14:textId="714DD2B0" w:rsidR="0008241A" w:rsidRPr="00B65BF1" w:rsidRDefault="0008241A" w:rsidP="0008241A">
            <w:pPr>
              <w:spacing w:after="0" w:line="240" w:lineRule="auto"/>
              <w:jc w:val="right"/>
              <w:rPr>
                <w:rFonts w:ascii="Calibri" w:eastAsia="Times New Roman" w:hAnsi="Calibri" w:cs="Times New Roman"/>
                <w:color w:val="000000"/>
                <w:lang w:eastAsia="cs-CZ"/>
              </w:rPr>
            </w:pPr>
            <w:r>
              <w:rPr>
                <w:rFonts w:ascii="Calibri" w:hAnsi="Calibri" w:cs="Calibri"/>
                <w:color w:val="000000"/>
              </w:rPr>
              <w:t>157</w:t>
            </w:r>
          </w:p>
        </w:tc>
      </w:tr>
      <w:tr w:rsidR="0008241A" w:rsidRPr="00B65BF1" w14:paraId="0F612537" w14:textId="77777777" w:rsidTr="0008241A">
        <w:trPr>
          <w:trHeight w:val="340"/>
        </w:trPr>
        <w:tc>
          <w:tcPr>
            <w:tcW w:w="5665" w:type="dxa"/>
            <w:shd w:val="clear" w:color="auto" w:fill="auto"/>
            <w:noWrap/>
            <w:vAlign w:val="center"/>
          </w:tcPr>
          <w:p w14:paraId="30F25055" w14:textId="665CD480" w:rsidR="0008241A" w:rsidRPr="00B65BF1" w:rsidRDefault="0008241A" w:rsidP="0008241A">
            <w:pPr>
              <w:spacing w:after="0" w:line="240" w:lineRule="auto"/>
              <w:rPr>
                <w:rFonts w:ascii="Calibri" w:eastAsia="Times New Roman" w:hAnsi="Calibri" w:cs="Times New Roman"/>
                <w:color w:val="000000"/>
                <w:lang w:eastAsia="cs-CZ"/>
              </w:rPr>
            </w:pPr>
            <w:r>
              <w:rPr>
                <w:rFonts w:ascii="Calibri" w:hAnsi="Calibri" w:cs="Calibri"/>
                <w:color w:val="000000"/>
              </w:rPr>
              <w:t>Doprava pro 21. století</w:t>
            </w:r>
          </w:p>
        </w:tc>
        <w:tc>
          <w:tcPr>
            <w:tcW w:w="992" w:type="dxa"/>
            <w:shd w:val="clear" w:color="auto" w:fill="auto"/>
            <w:noWrap/>
            <w:vAlign w:val="center"/>
          </w:tcPr>
          <w:p w14:paraId="5B009602" w14:textId="4B3C0CCD" w:rsidR="0008241A" w:rsidRPr="00B65BF1" w:rsidRDefault="0008241A" w:rsidP="0008241A">
            <w:pPr>
              <w:spacing w:after="0" w:line="240" w:lineRule="auto"/>
              <w:jc w:val="right"/>
              <w:rPr>
                <w:rFonts w:ascii="Calibri" w:eastAsia="Times New Roman" w:hAnsi="Calibri" w:cs="Times New Roman"/>
                <w:color w:val="000000"/>
                <w:lang w:eastAsia="cs-CZ"/>
              </w:rPr>
            </w:pPr>
            <w:r>
              <w:rPr>
                <w:rFonts w:ascii="Calibri" w:hAnsi="Calibri" w:cs="Calibri"/>
                <w:color w:val="000000"/>
              </w:rPr>
              <w:t>67</w:t>
            </w:r>
          </w:p>
        </w:tc>
      </w:tr>
      <w:tr w:rsidR="0008241A" w:rsidRPr="00B65BF1" w14:paraId="597CCCBC" w14:textId="77777777" w:rsidTr="0008241A">
        <w:trPr>
          <w:trHeight w:val="340"/>
        </w:trPr>
        <w:tc>
          <w:tcPr>
            <w:tcW w:w="5665" w:type="dxa"/>
            <w:shd w:val="clear" w:color="auto" w:fill="auto"/>
            <w:noWrap/>
            <w:vAlign w:val="center"/>
          </w:tcPr>
          <w:p w14:paraId="1CDD6DC6" w14:textId="4E40D1B9" w:rsidR="0008241A" w:rsidRPr="00B65BF1" w:rsidRDefault="0008241A" w:rsidP="0008241A">
            <w:pPr>
              <w:spacing w:after="0" w:line="240" w:lineRule="auto"/>
              <w:rPr>
                <w:rFonts w:ascii="Calibri" w:eastAsia="Times New Roman" w:hAnsi="Calibri" w:cs="Times New Roman"/>
                <w:color w:val="000000"/>
                <w:lang w:eastAsia="cs-CZ"/>
              </w:rPr>
            </w:pPr>
            <w:r>
              <w:rPr>
                <w:rFonts w:ascii="Calibri" w:hAnsi="Calibri" w:cs="Calibri"/>
                <w:color w:val="000000"/>
              </w:rPr>
              <w:t>Péče o zdraví, pokročilá medicína</w:t>
            </w:r>
          </w:p>
        </w:tc>
        <w:tc>
          <w:tcPr>
            <w:tcW w:w="992" w:type="dxa"/>
            <w:shd w:val="clear" w:color="auto" w:fill="auto"/>
            <w:noWrap/>
            <w:vAlign w:val="center"/>
          </w:tcPr>
          <w:p w14:paraId="75C900A5" w14:textId="39F170F8" w:rsidR="0008241A" w:rsidRPr="00B65BF1" w:rsidRDefault="0008241A" w:rsidP="0008241A">
            <w:pPr>
              <w:spacing w:after="0" w:line="240" w:lineRule="auto"/>
              <w:jc w:val="right"/>
              <w:rPr>
                <w:rFonts w:ascii="Calibri" w:eastAsia="Times New Roman" w:hAnsi="Calibri" w:cs="Times New Roman"/>
                <w:color w:val="000000"/>
                <w:lang w:eastAsia="cs-CZ"/>
              </w:rPr>
            </w:pPr>
            <w:r>
              <w:rPr>
                <w:rFonts w:ascii="Calibri" w:hAnsi="Calibri" w:cs="Calibri"/>
                <w:color w:val="000000"/>
              </w:rPr>
              <w:t>90</w:t>
            </w:r>
          </w:p>
        </w:tc>
      </w:tr>
      <w:tr w:rsidR="0008241A" w:rsidRPr="00B65BF1" w14:paraId="3474E8D9" w14:textId="77777777" w:rsidTr="0008241A">
        <w:trPr>
          <w:trHeight w:val="340"/>
        </w:trPr>
        <w:tc>
          <w:tcPr>
            <w:tcW w:w="5665" w:type="dxa"/>
            <w:shd w:val="clear" w:color="auto" w:fill="auto"/>
            <w:noWrap/>
            <w:vAlign w:val="center"/>
          </w:tcPr>
          <w:p w14:paraId="23C72F53" w14:textId="37DAC051" w:rsidR="0008241A" w:rsidRPr="00B65BF1" w:rsidRDefault="0008241A" w:rsidP="0008241A">
            <w:pPr>
              <w:spacing w:after="0" w:line="240" w:lineRule="auto"/>
              <w:rPr>
                <w:rFonts w:ascii="Calibri" w:eastAsia="Times New Roman" w:hAnsi="Calibri" w:cs="Times New Roman"/>
                <w:color w:val="000000"/>
                <w:lang w:eastAsia="cs-CZ"/>
              </w:rPr>
            </w:pPr>
            <w:r>
              <w:rPr>
                <w:rFonts w:ascii="Calibri" w:hAnsi="Calibri" w:cs="Calibri"/>
                <w:color w:val="000000"/>
              </w:rPr>
              <w:t>Kulturní a kreativní odvětví</w:t>
            </w:r>
          </w:p>
        </w:tc>
        <w:tc>
          <w:tcPr>
            <w:tcW w:w="992" w:type="dxa"/>
            <w:shd w:val="clear" w:color="auto" w:fill="auto"/>
            <w:noWrap/>
            <w:vAlign w:val="center"/>
          </w:tcPr>
          <w:p w14:paraId="2B6F53A0" w14:textId="3F909589" w:rsidR="0008241A" w:rsidRPr="00B65BF1" w:rsidRDefault="0008241A" w:rsidP="0008241A">
            <w:pPr>
              <w:spacing w:after="0" w:line="240" w:lineRule="auto"/>
              <w:jc w:val="right"/>
              <w:rPr>
                <w:rFonts w:ascii="Calibri" w:eastAsia="Times New Roman" w:hAnsi="Calibri" w:cs="Times New Roman"/>
                <w:color w:val="000000"/>
                <w:lang w:eastAsia="cs-CZ"/>
              </w:rPr>
            </w:pPr>
            <w:r>
              <w:rPr>
                <w:rFonts w:ascii="Calibri" w:hAnsi="Calibri" w:cs="Calibri"/>
                <w:color w:val="000000"/>
              </w:rPr>
              <w:t>6</w:t>
            </w:r>
          </w:p>
        </w:tc>
      </w:tr>
      <w:tr w:rsidR="0008241A" w:rsidRPr="00B65BF1" w14:paraId="070AD561" w14:textId="77777777" w:rsidTr="0008241A">
        <w:trPr>
          <w:trHeight w:val="340"/>
        </w:trPr>
        <w:tc>
          <w:tcPr>
            <w:tcW w:w="5665" w:type="dxa"/>
            <w:shd w:val="clear" w:color="auto" w:fill="auto"/>
            <w:noWrap/>
            <w:vAlign w:val="center"/>
          </w:tcPr>
          <w:p w14:paraId="0415A9BF" w14:textId="1DD10E03" w:rsidR="0008241A" w:rsidRDefault="0008241A" w:rsidP="0008241A">
            <w:pPr>
              <w:spacing w:after="0" w:line="240" w:lineRule="auto"/>
              <w:rPr>
                <w:rFonts w:ascii="Calibri" w:hAnsi="Calibri" w:cs="Calibri"/>
                <w:color w:val="000000"/>
              </w:rPr>
            </w:pPr>
            <w:r>
              <w:rPr>
                <w:rFonts w:ascii="Calibri" w:hAnsi="Calibri" w:cs="Calibri"/>
                <w:color w:val="000000"/>
              </w:rPr>
              <w:t>Udržitelné zemědělství a environmentální aplikační odvětví</w:t>
            </w:r>
          </w:p>
        </w:tc>
        <w:tc>
          <w:tcPr>
            <w:tcW w:w="992" w:type="dxa"/>
            <w:shd w:val="clear" w:color="auto" w:fill="auto"/>
            <w:noWrap/>
            <w:vAlign w:val="center"/>
          </w:tcPr>
          <w:p w14:paraId="4E1DC0DA" w14:textId="73D7E975" w:rsidR="0008241A" w:rsidRDefault="0008241A" w:rsidP="0008241A">
            <w:pPr>
              <w:spacing w:after="0" w:line="240" w:lineRule="auto"/>
              <w:jc w:val="right"/>
              <w:rPr>
                <w:rFonts w:ascii="Calibri" w:hAnsi="Calibri" w:cs="Calibri"/>
                <w:color w:val="000000"/>
              </w:rPr>
            </w:pPr>
            <w:r>
              <w:rPr>
                <w:rFonts w:ascii="Calibri" w:hAnsi="Calibri" w:cs="Calibri"/>
                <w:color w:val="000000"/>
              </w:rPr>
              <w:t>74</w:t>
            </w:r>
          </w:p>
        </w:tc>
      </w:tr>
      <w:tr w:rsidR="0008241A" w:rsidRPr="0087536B" w14:paraId="5496F2B7" w14:textId="77777777" w:rsidTr="0008241A">
        <w:trPr>
          <w:trHeight w:val="340"/>
        </w:trPr>
        <w:tc>
          <w:tcPr>
            <w:tcW w:w="5665" w:type="dxa"/>
            <w:shd w:val="clear" w:color="auto" w:fill="auto"/>
            <w:noWrap/>
            <w:vAlign w:val="center"/>
          </w:tcPr>
          <w:p w14:paraId="45A89F5D" w14:textId="77777777" w:rsidR="0008241A" w:rsidRPr="0087536B" w:rsidRDefault="0008241A" w:rsidP="0008241A">
            <w:pPr>
              <w:spacing w:after="0" w:line="240" w:lineRule="auto"/>
              <w:rPr>
                <w:rFonts w:ascii="Calibri" w:eastAsia="Times New Roman" w:hAnsi="Calibri" w:cs="Times New Roman"/>
                <w:b/>
                <w:bCs/>
                <w:color w:val="000000"/>
                <w:lang w:eastAsia="cs-CZ"/>
              </w:rPr>
            </w:pPr>
            <w:r w:rsidRPr="0087536B">
              <w:rPr>
                <w:b/>
                <w:bCs/>
              </w:rPr>
              <w:t>CELKEM</w:t>
            </w:r>
          </w:p>
        </w:tc>
        <w:tc>
          <w:tcPr>
            <w:tcW w:w="992" w:type="dxa"/>
            <w:shd w:val="clear" w:color="auto" w:fill="auto"/>
            <w:noWrap/>
            <w:vAlign w:val="center"/>
          </w:tcPr>
          <w:p w14:paraId="70F6844E" w14:textId="77777777" w:rsidR="0008241A" w:rsidRPr="0087536B" w:rsidRDefault="0008241A" w:rsidP="0008241A">
            <w:pPr>
              <w:spacing w:after="0" w:line="240" w:lineRule="auto"/>
              <w:jc w:val="right"/>
              <w:rPr>
                <w:rFonts w:ascii="Calibri" w:eastAsia="Times New Roman" w:hAnsi="Calibri" w:cs="Times New Roman"/>
                <w:b/>
                <w:bCs/>
                <w:color w:val="000000"/>
                <w:lang w:eastAsia="cs-CZ"/>
              </w:rPr>
            </w:pPr>
            <w:r w:rsidRPr="0087536B">
              <w:rPr>
                <w:b/>
                <w:bCs/>
              </w:rPr>
              <w:t>67</w:t>
            </w:r>
            <w:r>
              <w:rPr>
                <w:b/>
                <w:bCs/>
              </w:rPr>
              <w:t>0</w:t>
            </w:r>
          </w:p>
        </w:tc>
      </w:tr>
    </w:tbl>
    <w:p w14:paraId="40926134" w14:textId="3C53F996" w:rsidR="005E63BB" w:rsidRDefault="005E63BB" w:rsidP="005E63BB">
      <w:pPr>
        <w:spacing w:after="120" w:line="240" w:lineRule="auto"/>
        <w:jc w:val="both"/>
      </w:pPr>
    </w:p>
    <w:p w14:paraId="0662A04A" w14:textId="77777777" w:rsidR="00395DAD" w:rsidRDefault="00395DAD">
      <w:pPr>
        <w:spacing w:after="200" w:line="276" w:lineRule="auto"/>
        <w:rPr>
          <w:rFonts w:asciiTheme="majorHAnsi" w:eastAsiaTheme="majorEastAsia" w:hAnsiTheme="majorHAnsi" w:cstheme="majorBidi"/>
          <w:b/>
          <w:color w:val="004B8D" w:themeColor="text2"/>
          <w:sz w:val="28"/>
          <w:szCs w:val="32"/>
        </w:rPr>
      </w:pPr>
      <w:r>
        <w:br w:type="page"/>
      </w:r>
    </w:p>
    <w:p w14:paraId="58B9CF71" w14:textId="240F9F65" w:rsidR="008B4A28" w:rsidRDefault="007902A0" w:rsidP="00F65956">
      <w:pPr>
        <w:pStyle w:val="Nadpis1"/>
      </w:pPr>
      <w:bookmarkStart w:id="43" w:name="_Toc185334559"/>
      <w:r>
        <w:lastRenderedPageBreak/>
        <w:t>OČEKÁVANÉ VÝSLEDKY PROGRAMU</w:t>
      </w:r>
      <w:bookmarkEnd w:id="43"/>
    </w:p>
    <w:p w14:paraId="15F2147F" w14:textId="7C106402" w:rsidR="00E43F22" w:rsidRDefault="007902A0" w:rsidP="00DA499E">
      <w:pPr>
        <w:jc w:val="both"/>
      </w:pPr>
      <w:r>
        <w:t xml:space="preserve">V celkem </w:t>
      </w:r>
      <w:r w:rsidR="00430541">
        <w:t>67</w:t>
      </w:r>
      <w:r w:rsidR="00487F6E">
        <w:t>0</w:t>
      </w:r>
      <w:r>
        <w:t xml:space="preserve"> podpořených projektech se příjemci zavázali k</w:t>
      </w:r>
      <w:r w:rsidR="00CE7C79">
        <w:t> </w:t>
      </w:r>
      <w:r>
        <w:t xml:space="preserve">dosažení </w:t>
      </w:r>
      <w:r w:rsidR="00430541">
        <w:t>2</w:t>
      </w:r>
      <w:r w:rsidR="00544EB6">
        <w:t xml:space="preserve"> </w:t>
      </w:r>
      <w:r w:rsidR="00430541">
        <w:t>626</w:t>
      </w:r>
      <w:r w:rsidR="002179C7">
        <w:t xml:space="preserve"> aplikovaných výsledků, tzn. </w:t>
      </w:r>
      <w:r>
        <w:t xml:space="preserve">přibližně </w:t>
      </w:r>
      <w:r w:rsidR="0012505C">
        <w:t>4</w:t>
      </w:r>
      <w:r w:rsidR="00B32D79">
        <w:t xml:space="preserve"> </w:t>
      </w:r>
      <w:r>
        <w:t xml:space="preserve">aplikované výsledky na jeden projekt. </w:t>
      </w:r>
      <w:r w:rsidR="009F65E1">
        <w:t>Nejvíce je v</w:t>
      </w:r>
      <w:r w:rsidR="00CE7C79">
        <w:t> </w:t>
      </w:r>
      <w:r w:rsidR="009F65E1">
        <w:t xml:space="preserve">Programu očekáváno technicky realizovaných výsledků (prototyp, funkční vzorek) </w:t>
      </w:r>
      <w:r w:rsidR="002179C7">
        <w:t>a</w:t>
      </w:r>
      <w:r w:rsidR="00CE7C79">
        <w:t> </w:t>
      </w:r>
      <w:r w:rsidR="009F65E1">
        <w:t xml:space="preserve">dále ověřených technologií </w:t>
      </w:r>
      <w:r w:rsidR="00430541">
        <w:t>a software</w:t>
      </w:r>
      <w:r w:rsidR="009F65E1">
        <w:t>, které mají největší šanci na rychlé uplatnění v</w:t>
      </w:r>
      <w:r w:rsidR="00430541">
        <w:t> </w:t>
      </w:r>
      <w:r w:rsidR="009F65E1">
        <w:t>praxi</w:t>
      </w:r>
      <w:r w:rsidR="00430541">
        <w:t>.</w:t>
      </w:r>
      <w:r w:rsidR="00B03B4D">
        <w:t xml:space="preserve"> Znatelný je podíl i u výsledků s právní ochranou typu užitný vzor, nízký je</w:t>
      </w:r>
      <w:r w:rsidR="00487F6E">
        <w:t xml:space="preserve"> však </w:t>
      </w:r>
      <w:r w:rsidR="00B03B4D">
        <w:t>podíl patentů, které byly uznávány pouze v kombinaci s některým dalším hlavním výsledkem projektu a nemohly tak být jediným stěžejním výsledkem projektu.</w:t>
      </w:r>
      <w:r w:rsidR="00D97F90">
        <w:t xml:space="preserve"> </w:t>
      </w:r>
    </w:p>
    <w:p w14:paraId="73EB5906" w14:textId="224BB706" w:rsidR="009F65E1" w:rsidRPr="009F65E1" w:rsidRDefault="00D97F90" w:rsidP="00DA499E">
      <w:pPr>
        <w:jc w:val="both"/>
        <w:rPr>
          <w:color w:val="000000" w:themeColor="text1"/>
        </w:rPr>
      </w:pPr>
      <w:r>
        <w:t xml:space="preserve">Již z předchozích dotačních programů s obdobným zaměřením byla zkušenost s výsledkem druhu </w:t>
      </w:r>
      <w:r w:rsidR="00487F6E">
        <w:t xml:space="preserve">patent </w:t>
      </w:r>
      <w:r>
        <w:t>spíše negativní v tom smyslu, že jeho dosažení v termínu ukončení řešení projektu je obvykle časově nereálné. Je proto nutno dodat, že patentů může být v návaznosti na výsledky projektů v programu TREND i</w:t>
      </w:r>
      <w:r w:rsidR="00487F6E">
        <w:t> </w:t>
      </w:r>
      <w:r>
        <w:t xml:space="preserve">více než ukazuje následující přehled, avšak při hodnocení bezprostředně po ukončení jednotlivých projektů jsou takové výsledky klasifikovány odlišně, například jako druh výsledku „O“ – ostatní. </w:t>
      </w:r>
      <w:r w:rsidR="00D72497">
        <w:t xml:space="preserve">Výsledků „O“ je zatím plánováno přes dvě stě, </w:t>
      </w:r>
      <w:r w:rsidR="00B85486">
        <w:t xml:space="preserve">mezi nimi jsou </w:t>
      </w:r>
      <w:r w:rsidR="00001474">
        <w:t xml:space="preserve">výslovně </w:t>
      </w:r>
      <w:r w:rsidR="00B85486">
        <w:t>zmíněny asi dvě desítky</w:t>
      </w:r>
      <w:r w:rsidR="00D72497">
        <w:t xml:space="preserve"> </w:t>
      </w:r>
      <w:r w:rsidR="00B85486">
        <w:t>přihlášek</w:t>
      </w:r>
      <w:r w:rsidR="00D72497">
        <w:t xml:space="preserve"> vynálezu / patentu.</w:t>
      </w:r>
    </w:p>
    <w:p w14:paraId="694E5EB9" w14:textId="1E5995CA" w:rsidR="002C3BCC" w:rsidRDefault="002C3BCC" w:rsidP="00A7392F">
      <w:pPr>
        <w:pStyle w:val="Titulek"/>
      </w:pPr>
      <w:bookmarkStart w:id="44" w:name="_Toc185334585"/>
      <w:r w:rsidRPr="00EF5D27">
        <w:t xml:space="preserve">Tabulka </w:t>
      </w:r>
      <w:r w:rsidR="00353407">
        <w:fldChar w:fldCharType="begin"/>
      </w:r>
      <w:r w:rsidR="00353407">
        <w:instrText xml:space="preserve"> SEQ Tabulka \* ARABIC </w:instrText>
      </w:r>
      <w:r w:rsidR="00353407">
        <w:fldChar w:fldCharType="separate"/>
      </w:r>
      <w:r w:rsidR="00353407">
        <w:rPr>
          <w:noProof/>
        </w:rPr>
        <w:t>18</w:t>
      </w:r>
      <w:r w:rsidR="00353407">
        <w:rPr>
          <w:noProof/>
        </w:rPr>
        <w:fldChar w:fldCharType="end"/>
      </w:r>
      <w:r w:rsidRPr="00EF5D27">
        <w:t>: Přehled očekávaných aplikovaných výsledků</w:t>
      </w:r>
      <w:bookmarkEnd w:id="44"/>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40"/>
        <w:gridCol w:w="1088"/>
        <w:gridCol w:w="2088"/>
      </w:tblGrid>
      <w:tr w:rsidR="00EF5D27" w:rsidRPr="00EF5D27" w14:paraId="5CF838D0" w14:textId="77777777" w:rsidTr="00395DAD">
        <w:trPr>
          <w:trHeight w:val="575"/>
        </w:trPr>
        <w:tc>
          <w:tcPr>
            <w:tcW w:w="3340" w:type="dxa"/>
            <w:shd w:val="clear" w:color="auto" w:fill="B9E0F7" w:themeFill="accent5"/>
            <w:noWrap/>
            <w:vAlign w:val="center"/>
            <w:hideMark/>
          </w:tcPr>
          <w:p w14:paraId="1C5EF07F" w14:textId="77777777" w:rsidR="00EF5D27" w:rsidRPr="00EF5D27" w:rsidRDefault="00EF5D27" w:rsidP="00EF5D27">
            <w:pPr>
              <w:spacing w:after="0" w:line="240" w:lineRule="auto"/>
              <w:jc w:val="center"/>
              <w:rPr>
                <w:rFonts w:ascii="Calibri" w:eastAsia="Times New Roman" w:hAnsi="Calibri" w:cs="Times New Roman"/>
                <w:color w:val="000000"/>
                <w:lang w:eastAsia="cs-CZ"/>
              </w:rPr>
            </w:pPr>
            <w:r w:rsidRPr="00EF5D27">
              <w:rPr>
                <w:rFonts w:ascii="Calibri" w:eastAsia="Times New Roman" w:hAnsi="Calibri" w:cs="Times New Roman"/>
                <w:color w:val="000000"/>
                <w:lang w:eastAsia="cs-CZ"/>
              </w:rPr>
              <w:t>Druh aplikovaného výsledku</w:t>
            </w:r>
          </w:p>
        </w:tc>
        <w:tc>
          <w:tcPr>
            <w:tcW w:w="1088" w:type="dxa"/>
            <w:shd w:val="clear" w:color="auto" w:fill="B9E0F7" w:themeFill="accent5"/>
            <w:vAlign w:val="center"/>
            <w:hideMark/>
          </w:tcPr>
          <w:p w14:paraId="013CE70C" w14:textId="77777777" w:rsidR="00EF5D27" w:rsidRPr="00EF5D27" w:rsidRDefault="00EF5D27" w:rsidP="00EF5D27">
            <w:pPr>
              <w:spacing w:after="0" w:line="240" w:lineRule="auto"/>
              <w:jc w:val="center"/>
              <w:rPr>
                <w:rFonts w:ascii="Calibri" w:eastAsia="Times New Roman" w:hAnsi="Calibri" w:cs="Times New Roman"/>
                <w:color w:val="000000"/>
                <w:lang w:eastAsia="cs-CZ"/>
              </w:rPr>
            </w:pPr>
            <w:r w:rsidRPr="00EF5D27">
              <w:rPr>
                <w:rFonts w:ascii="Calibri" w:eastAsia="Times New Roman" w:hAnsi="Calibri" w:cs="Times New Roman"/>
                <w:color w:val="000000"/>
                <w:lang w:eastAsia="cs-CZ"/>
              </w:rPr>
              <w:t>Počet výsledků</w:t>
            </w:r>
          </w:p>
        </w:tc>
        <w:tc>
          <w:tcPr>
            <w:tcW w:w="2088" w:type="dxa"/>
            <w:shd w:val="clear" w:color="auto" w:fill="B9E0F7" w:themeFill="accent5"/>
            <w:vAlign w:val="center"/>
            <w:hideMark/>
          </w:tcPr>
          <w:p w14:paraId="18785F99" w14:textId="77777777" w:rsidR="00EF5D27" w:rsidRPr="00EF5D27" w:rsidRDefault="00EF5D27" w:rsidP="00EF5D27">
            <w:pPr>
              <w:spacing w:after="0" w:line="240" w:lineRule="auto"/>
              <w:jc w:val="center"/>
              <w:rPr>
                <w:rFonts w:ascii="Calibri" w:eastAsia="Times New Roman" w:hAnsi="Calibri" w:cs="Times New Roman"/>
                <w:color w:val="000000"/>
                <w:lang w:eastAsia="cs-CZ"/>
              </w:rPr>
            </w:pPr>
            <w:r w:rsidRPr="00EF5D27">
              <w:rPr>
                <w:rFonts w:ascii="Calibri" w:eastAsia="Times New Roman" w:hAnsi="Calibri" w:cs="Times New Roman"/>
                <w:color w:val="000000"/>
                <w:lang w:eastAsia="cs-CZ"/>
              </w:rPr>
              <w:t>Podíl na celkovém počtu výsledků</w:t>
            </w:r>
          </w:p>
        </w:tc>
      </w:tr>
      <w:tr w:rsidR="009E622C" w:rsidRPr="00EF5D27" w14:paraId="6C3A1D39" w14:textId="77777777" w:rsidTr="00395DAD">
        <w:trPr>
          <w:trHeight w:val="340"/>
        </w:trPr>
        <w:tc>
          <w:tcPr>
            <w:tcW w:w="3340" w:type="dxa"/>
            <w:shd w:val="clear" w:color="auto" w:fill="auto"/>
            <w:noWrap/>
            <w:vAlign w:val="center"/>
            <w:hideMark/>
          </w:tcPr>
          <w:p w14:paraId="39A86CCD" w14:textId="592200D7" w:rsidR="009E622C" w:rsidRPr="00EF5D27" w:rsidRDefault="00B62838" w:rsidP="00395DAD">
            <w:pPr>
              <w:spacing w:after="0" w:line="240" w:lineRule="auto"/>
              <w:rPr>
                <w:rFonts w:ascii="Calibri" w:eastAsia="Times New Roman" w:hAnsi="Calibri" w:cs="Times New Roman"/>
                <w:color w:val="000000"/>
                <w:lang w:eastAsia="cs-CZ"/>
              </w:rPr>
            </w:pPr>
            <w:r>
              <w:t>G – Funkční</w:t>
            </w:r>
            <w:r w:rsidR="009E622C" w:rsidRPr="008A3351">
              <w:t xml:space="preserve"> vzorek</w:t>
            </w:r>
          </w:p>
        </w:tc>
        <w:tc>
          <w:tcPr>
            <w:tcW w:w="1088" w:type="dxa"/>
            <w:shd w:val="clear" w:color="auto" w:fill="auto"/>
            <w:vAlign w:val="center"/>
            <w:hideMark/>
          </w:tcPr>
          <w:p w14:paraId="0D62BF8E" w14:textId="6FD8B516"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984</w:t>
            </w:r>
          </w:p>
        </w:tc>
        <w:tc>
          <w:tcPr>
            <w:tcW w:w="2088" w:type="dxa"/>
            <w:shd w:val="clear" w:color="auto" w:fill="auto"/>
            <w:vAlign w:val="center"/>
            <w:hideMark/>
          </w:tcPr>
          <w:p w14:paraId="205B5E37" w14:textId="059795EC"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37</w:t>
            </w:r>
            <w:r w:rsidR="00A7392F">
              <w:t xml:space="preserve"> </w:t>
            </w:r>
            <w:r w:rsidRPr="008A3351">
              <w:t>%</w:t>
            </w:r>
          </w:p>
        </w:tc>
      </w:tr>
      <w:tr w:rsidR="009E622C" w:rsidRPr="00EF5D27" w14:paraId="68F8B985" w14:textId="77777777" w:rsidTr="00395DAD">
        <w:trPr>
          <w:trHeight w:val="340"/>
        </w:trPr>
        <w:tc>
          <w:tcPr>
            <w:tcW w:w="3340" w:type="dxa"/>
            <w:shd w:val="clear" w:color="auto" w:fill="auto"/>
            <w:noWrap/>
            <w:vAlign w:val="center"/>
            <w:hideMark/>
          </w:tcPr>
          <w:p w14:paraId="0C800B39" w14:textId="28A1A8AA" w:rsidR="009E622C" w:rsidRPr="00EF5D27" w:rsidRDefault="00B62838" w:rsidP="00395DAD">
            <w:pPr>
              <w:spacing w:after="0" w:line="240" w:lineRule="auto"/>
              <w:rPr>
                <w:rFonts w:ascii="Calibri" w:eastAsia="Times New Roman" w:hAnsi="Calibri" w:cs="Times New Roman"/>
                <w:color w:val="000000"/>
                <w:lang w:eastAsia="cs-CZ"/>
              </w:rPr>
            </w:pPr>
            <w:r>
              <w:t>G – Prototyp</w:t>
            </w:r>
          </w:p>
        </w:tc>
        <w:tc>
          <w:tcPr>
            <w:tcW w:w="1088" w:type="dxa"/>
            <w:shd w:val="clear" w:color="auto" w:fill="auto"/>
            <w:vAlign w:val="center"/>
            <w:hideMark/>
          </w:tcPr>
          <w:p w14:paraId="273B3265" w14:textId="232FB0BD"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449</w:t>
            </w:r>
          </w:p>
        </w:tc>
        <w:tc>
          <w:tcPr>
            <w:tcW w:w="2088" w:type="dxa"/>
            <w:shd w:val="clear" w:color="auto" w:fill="auto"/>
            <w:vAlign w:val="center"/>
            <w:hideMark/>
          </w:tcPr>
          <w:p w14:paraId="2509185F" w14:textId="235F22ED"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17</w:t>
            </w:r>
            <w:r w:rsidR="00A7392F">
              <w:t xml:space="preserve"> </w:t>
            </w:r>
            <w:r w:rsidRPr="008A3351">
              <w:t>%</w:t>
            </w:r>
          </w:p>
        </w:tc>
      </w:tr>
      <w:tr w:rsidR="009E622C" w:rsidRPr="00EF5D27" w14:paraId="24111B98" w14:textId="77777777" w:rsidTr="00395DAD">
        <w:trPr>
          <w:trHeight w:val="340"/>
        </w:trPr>
        <w:tc>
          <w:tcPr>
            <w:tcW w:w="3340" w:type="dxa"/>
            <w:shd w:val="clear" w:color="auto" w:fill="auto"/>
            <w:noWrap/>
            <w:vAlign w:val="center"/>
            <w:hideMark/>
          </w:tcPr>
          <w:p w14:paraId="28F20852" w14:textId="0F4D15D9" w:rsidR="009E622C" w:rsidRPr="00EF5D27" w:rsidRDefault="00B62838" w:rsidP="00395DAD">
            <w:pPr>
              <w:spacing w:after="0" w:line="240" w:lineRule="auto"/>
              <w:rPr>
                <w:rFonts w:ascii="Calibri" w:eastAsia="Times New Roman" w:hAnsi="Calibri" w:cs="Times New Roman"/>
                <w:color w:val="000000"/>
                <w:lang w:eastAsia="cs-CZ"/>
              </w:rPr>
            </w:pPr>
            <w:r>
              <w:t>Z – Ověřená</w:t>
            </w:r>
            <w:r w:rsidR="009E622C" w:rsidRPr="008A3351">
              <w:t xml:space="preserve"> technologie</w:t>
            </w:r>
          </w:p>
        </w:tc>
        <w:tc>
          <w:tcPr>
            <w:tcW w:w="1088" w:type="dxa"/>
            <w:shd w:val="clear" w:color="auto" w:fill="auto"/>
            <w:vAlign w:val="center"/>
            <w:hideMark/>
          </w:tcPr>
          <w:p w14:paraId="683605EE" w14:textId="7E3BD9C1"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389</w:t>
            </w:r>
          </w:p>
        </w:tc>
        <w:tc>
          <w:tcPr>
            <w:tcW w:w="2088" w:type="dxa"/>
            <w:shd w:val="clear" w:color="auto" w:fill="auto"/>
            <w:vAlign w:val="center"/>
            <w:hideMark/>
          </w:tcPr>
          <w:p w14:paraId="7B8E7AFC" w14:textId="13CBADAD"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15</w:t>
            </w:r>
            <w:r w:rsidR="00A7392F">
              <w:t xml:space="preserve"> </w:t>
            </w:r>
            <w:r w:rsidRPr="008A3351">
              <w:t>%</w:t>
            </w:r>
          </w:p>
        </w:tc>
      </w:tr>
      <w:tr w:rsidR="009E622C" w:rsidRPr="00EF5D27" w14:paraId="12553F6F" w14:textId="77777777" w:rsidTr="00395DAD">
        <w:trPr>
          <w:trHeight w:val="340"/>
        </w:trPr>
        <w:tc>
          <w:tcPr>
            <w:tcW w:w="3340" w:type="dxa"/>
            <w:shd w:val="clear" w:color="auto" w:fill="auto"/>
            <w:noWrap/>
            <w:vAlign w:val="center"/>
            <w:hideMark/>
          </w:tcPr>
          <w:p w14:paraId="3F5C6E69" w14:textId="66C39627" w:rsidR="009E622C" w:rsidRPr="00EF5D27" w:rsidRDefault="00B62838" w:rsidP="00395DAD">
            <w:pPr>
              <w:spacing w:after="0" w:line="240" w:lineRule="auto"/>
              <w:rPr>
                <w:rFonts w:ascii="Calibri" w:eastAsia="Times New Roman" w:hAnsi="Calibri" w:cs="Times New Roman"/>
                <w:color w:val="000000"/>
                <w:lang w:eastAsia="cs-CZ"/>
              </w:rPr>
            </w:pPr>
            <w:r>
              <w:t>F – Užitný</w:t>
            </w:r>
            <w:r w:rsidR="009E622C" w:rsidRPr="008A3351">
              <w:t xml:space="preserve"> vzor</w:t>
            </w:r>
          </w:p>
        </w:tc>
        <w:tc>
          <w:tcPr>
            <w:tcW w:w="1088" w:type="dxa"/>
            <w:shd w:val="clear" w:color="auto" w:fill="auto"/>
            <w:vAlign w:val="center"/>
            <w:hideMark/>
          </w:tcPr>
          <w:p w14:paraId="580483F7" w14:textId="76E1EC22"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363</w:t>
            </w:r>
          </w:p>
        </w:tc>
        <w:tc>
          <w:tcPr>
            <w:tcW w:w="2088" w:type="dxa"/>
            <w:shd w:val="clear" w:color="auto" w:fill="auto"/>
            <w:vAlign w:val="center"/>
            <w:hideMark/>
          </w:tcPr>
          <w:p w14:paraId="4047820F" w14:textId="07D27595"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14</w:t>
            </w:r>
            <w:r w:rsidR="00A7392F">
              <w:t xml:space="preserve"> </w:t>
            </w:r>
            <w:r w:rsidRPr="008A3351">
              <w:t>%</w:t>
            </w:r>
          </w:p>
        </w:tc>
      </w:tr>
      <w:tr w:rsidR="009E622C" w:rsidRPr="00EF5D27" w14:paraId="0E412355" w14:textId="77777777" w:rsidTr="00395DAD">
        <w:trPr>
          <w:trHeight w:val="340"/>
        </w:trPr>
        <w:tc>
          <w:tcPr>
            <w:tcW w:w="3340" w:type="dxa"/>
            <w:shd w:val="clear" w:color="auto" w:fill="auto"/>
            <w:noWrap/>
            <w:vAlign w:val="center"/>
            <w:hideMark/>
          </w:tcPr>
          <w:p w14:paraId="6B6F51D3" w14:textId="38D10FBB" w:rsidR="009E622C" w:rsidRPr="00EF5D27" w:rsidRDefault="00B62838" w:rsidP="00395DAD">
            <w:pPr>
              <w:spacing w:after="0" w:line="240" w:lineRule="auto"/>
              <w:rPr>
                <w:rFonts w:ascii="Calibri" w:eastAsia="Times New Roman" w:hAnsi="Calibri" w:cs="Times New Roman"/>
                <w:color w:val="000000"/>
                <w:lang w:eastAsia="cs-CZ"/>
              </w:rPr>
            </w:pPr>
            <w:r>
              <w:t>R – Software</w:t>
            </w:r>
          </w:p>
        </w:tc>
        <w:tc>
          <w:tcPr>
            <w:tcW w:w="1088" w:type="dxa"/>
            <w:shd w:val="clear" w:color="auto" w:fill="auto"/>
            <w:vAlign w:val="center"/>
            <w:hideMark/>
          </w:tcPr>
          <w:p w14:paraId="28A2F6F4" w14:textId="4A72F0E1"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302</w:t>
            </w:r>
          </w:p>
        </w:tc>
        <w:tc>
          <w:tcPr>
            <w:tcW w:w="2088" w:type="dxa"/>
            <w:shd w:val="clear" w:color="auto" w:fill="auto"/>
            <w:vAlign w:val="center"/>
            <w:hideMark/>
          </w:tcPr>
          <w:p w14:paraId="0EE8A651" w14:textId="2FF57D4B"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12</w:t>
            </w:r>
            <w:r w:rsidR="00A7392F">
              <w:t xml:space="preserve"> </w:t>
            </w:r>
            <w:r w:rsidRPr="008A3351">
              <w:t>%</w:t>
            </w:r>
          </w:p>
        </w:tc>
      </w:tr>
      <w:tr w:rsidR="009E622C" w:rsidRPr="00EF5D27" w14:paraId="268AB58A" w14:textId="77777777" w:rsidTr="00395DAD">
        <w:trPr>
          <w:trHeight w:val="340"/>
        </w:trPr>
        <w:tc>
          <w:tcPr>
            <w:tcW w:w="3340" w:type="dxa"/>
            <w:shd w:val="clear" w:color="auto" w:fill="auto"/>
            <w:noWrap/>
            <w:vAlign w:val="center"/>
            <w:hideMark/>
          </w:tcPr>
          <w:p w14:paraId="73F5264E" w14:textId="55E43723" w:rsidR="009E622C" w:rsidRPr="00EF5D27" w:rsidRDefault="00B62838" w:rsidP="00395DAD">
            <w:pPr>
              <w:spacing w:after="0" w:line="240" w:lineRule="auto"/>
              <w:rPr>
                <w:rFonts w:ascii="Calibri" w:eastAsia="Times New Roman" w:hAnsi="Calibri" w:cs="Times New Roman"/>
                <w:color w:val="000000"/>
                <w:lang w:eastAsia="cs-CZ"/>
              </w:rPr>
            </w:pPr>
            <w:r>
              <w:t>Z – Poloprovoz</w:t>
            </w:r>
          </w:p>
        </w:tc>
        <w:tc>
          <w:tcPr>
            <w:tcW w:w="1088" w:type="dxa"/>
            <w:shd w:val="clear" w:color="auto" w:fill="auto"/>
            <w:vAlign w:val="center"/>
            <w:hideMark/>
          </w:tcPr>
          <w:p w14:paraId="1ECB618B" w14:textId="324F74C5"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67</w:t>
            </w:r>
          </w:p>
        </w:tc>
        <w:tc>
          <w:tcPr>
            <w:tcW w:w="2088" w:type="dxa"/>
            <w:shd w:val="clear" w:color="auto" w:fill="auto"/>
            <w:vAlign w:val="center"/>
            <w:hideMark/>
          </w:tcPr>
          <w:p w14:paraId="7B69D7DA" w14:textId="77D46781"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3</w:t>
            </w:r>
            <w:r w:rsidR="00A7392F">
              <w:t xml:space="preserve"> </w:t>
            </w:r>
            <w:r w:rsidRPr="008A3351">
              <w:t>%</w:t>
            </w:r>
          </w:p>
        </w:tc>
      </w:tr>
      <w:tr w:rsidR="009E622C" w:rsidRPr="00EF5D27" w14:paraId="306EA85B" w14:textId="77777777" w:rsidTr="00395DAD">
        <w:trPr>
          <w:trHeight w:val="340"/>
        </w:trPr>
        <w:tc>
          <w:tcPr>
            <w:tcW w:w="3340" w:type="dxa"/>
            <w:shd w:val="clear" w:color="auto" w:fill="auto"/>
            <w:noWrap/>
            <w:vAlign w:val="center"/>
            <w:hideMark/>
          </w:tcPr>
          <w:p w14:paraId="326345FA" w14:textId="683D524D" w:rsidR="009E622C" w:rsidRPr="00EF5D27" w:rsidRDefault="00B62838" w:rsidP="00395DAD">
            <w:pPr>
              <w:spacing w:after="0" w:line="240" w:lineRule="auto"/>
              <w:rPr>
                <w:rFonts w:ascii="Calibri" w:eastAsia="Times New Roman" w:hAnsi="Calibri" w:cs="Times New Roman"/>
                <w:color w:val="000000"/>
                <w:lang w:eastAsia="cs-CZ"/>
              </w:rPr>
            </w:pPr>
            <w:r>
              <w:t>F – Průmyslový</w:t>
            </w:r>
            <w:r w:rsidR="009E622C" w:rsidRPr="008A3351">
              <w:t xml:space="preserve"> vzor</w:t>
            </w:r>
          </w:p>
        </w:tc>
        <w:tc>
          <w:tcPr>
            <w:tcW w:w="1088" w:type="dxa"/>
            <w:shd w:val="clear" w:color="auto" w:fill="auto"/>
            <w:vAlign w:val="center"/>
            <w:hideMark/>
          </w:tcPr>
          <w:p w14:paraId="25804F4E" w14:textId="200EE464"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29</w:t>
            </w:r>
          </w:p>
        </w:tc>
        <w:tc>
          <w:tcPr>
            <w:tcW w:w="2088" w:type="dxa"/>
            <w:shd w:val="clear" w:color="auto" w:fill="auto"/>
            <w:vAlign w:val="center"/>
            <w:hideMark/>
          </w:tcPr>
          <w:p w14:paraId="466F21C0" w14:textId="2A93C816"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w:t>
            </w:r>
            <w:r w:rsidR="00A7392F">
              <w:t xml:space="preserve"> </w:t>
            </w:r>
            <w:r w:rsidRPr="008A3351">
              <w:t>%</w:t>
            </w:r>
          </w:p>
        </w:tc>
      </w:tr>
      <w:tr w:rsidR="009E622C" w:rsidRPr="00EF5D27" w14:paraId="42A6FBFC" w14:textId="77777777" w:rsidTr="00395DAD">
        <w:trPr>
          <w:trHeight w:val="340"/>
        </w:trPr>
        <w:tc>
          <w:tcPr>
            <w:tcW w:w="3340" w:type="dxa"/>
            <w:shd w:val="clear" w:color="auto" w:fill="auto"/>
            <w:noWrap/>
            <w:vAlign w:val="center"/>
            <w:hideMark/>
          </w:tcPr>
          <w:p w14:paraId="203D6A3A" w14:textId="43D1A8D9" w:rsidR="009E622C" w:rsidRPr="00EF5D27" w:rsidRDefault="00B62838" w:rsidP="00395DAD">
            <w:pPr>
              <w:spacing w:after="0" w:line="240" w:lineRule="auto"/>
              <w:rPr>
                <w:rFonts w:ascii="Calibri" w:eastAsia="Times New Roman" w:hAnsi="Calibri" w:cs="Times New Roman"/>
                <w:color w:val="000000"/>
                <w:lang w:eastAsia="cs-CZ"/>
              </w:rPr>
            </w:pPr>
            <w:r>
              <w:t>P – Patent</w:t>
            </w:r>
          </w:p>
        </w:tc>
        <w:tc>
          <w:tcPr>
            <w:tcW w:w="1088" w:type="dxa"/>
            <w:shd w:val="clear" w:color="auto" w:fill="auto"/>
            <w:vAlign w:val="center"/>
            <w:hideMark/>
          </w:tcPr>
          <w:p w14:paraId="6F20EB44" w14:textId="3BE115A7"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21</w:t>
            </w:r>
          </w:p>
        </w:tc>
        <w:tc>
          <w:tcPr>
            <w:tcW w:w="2088" w:type="dxa"/>
            <w:shd w:val="clear" w:color="auto" w:fill="auto"/>
            <w:vAlign w:val="center"/>
            <w:hideMark/>
          </w:tcPr>
          <w:p w14:paraId="5CEE7262" w14:textId="026FB02A"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w:t>
            </w:r>
            <w:r w:rsidR="00A7392F">
              <w:t xml:space="preserve"> </w:t>
            </w:r>
            <w:r w:rsidRPr="008A3351">
              <w:t>%</w:t>
            </w:r>
          </w:p>
        </w:tc>
      </w:tr>
      <w:tr w:rsidR="009E622C" w:rsidRPr="00EF5D27" w14:paraId="68D36D04" w14:textId="77777777" w:rsidTr="00395DAD">
        <w:trPr>
          <w:trHeight w:val="340"/>
        </w:trPr>
        <w:tc>
          <w:tcPr>
            <w:tcW w:w="3340" w:type="dxa"/>
            <w:shd w:val="clear" w:color="auto" w:fill="auto"/>
            <w:noWrap/>
            <w:vAlign w:val="center"/>
            <w:hideMark/>
          </w:tcPr>
          <w:p w14:paraId="1B1DB8FB" w14:textId="29FC8E53" w:rsidR="009E622C" w:rsidRPr="00EF5D27" w:rsidRDefault="00B62838" w:rsidP="00395DAD">
            <w:pPr>
              <w:spacing w:after="0" w:line="240" w:lineRule="auto"/>
              <w:rPr>
                <w:rFonts w:ascii="Calibri" w:eastAsia="Times New Roman" w:hAnsi="Calibri" w:cs="Times New Roman"/>
                <w:color w:val="000000"/>
                <w:lang w:eastAsia="cs-CZ"/>
              </w:rPr>
            </w:pPr>
            <w:r>
              <w:t>N – Metodika</w:t>
            </w:r>
          </w:p>
        </w:tc>
        <w:tc>
          <w:tcPr>
            <w:tcW w:w="1088" w:type="dxa"/>
            <w:shd w:val="clear" w:color="auto" w:fill="auto"/>
            <w:vAlign w:val="center"/>
            <w:hideMark/>
          </w:tcPr>
          <w:p w14:paraId="5E4E4521" w14:textId="49C088E6"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22</w:t>
            </w:r>
          </w:p>
        </w:tc>
        <w:tc>
          <w:tcPr>
            <w:tcW w:w="2088" w:type="dxa"/>
            <w:shd w:val="clear" w:color="auto" w:fill="auto"/>
            <w:vAlign w:val="center"/>
            <w:hideMark/>
          </w:tcPr>
          <w:p w14:paraId="7BBEFBEB" w14:textId="11C5E944" w:rsidR="009E622C" w:rsidRPr="00EF5D27" w:rsidRDefault="009E622C" w:rsidP="00395DAD">
            <w:pPr>
              <w:spacing w:after="0" w:line="240" w:lineRule="auto"/>
              <w:jc w:val="right"/>
              <w:rPr>
                <w:rFonts w:ascii="Calibri" w:eastAsia="Times New Roman" w:hAnsi="Calibri" w:cs="Times New Roman"/>
                <w:color w:val="000000"/>
                <w:lang w:eastAsia="cs-CZ"/>
              </w:rPr>
            </w:pPr>
            <w:r w:rsidRPr="008A3351">
              <w:t>1</w:t>
            </w:r>
            <w:r w:rsidR="00A7392F">
              <w:t xml:space="preserve"> </w:t>
            </w:r>
            <w:r w:rsidRPr="008A3351">
              <w:t>%</w:t>
            </w:r>
          </w:p>
        </w:tc>
      </w:tr>
      <w:tr w:rsidR="009E622C" w:rsidRPr="009E622C" w14:paraId="6464DBA5" w14:textId="77777777" w:rsidTr="00395DAD">
        <w:trPr>
          <w:trHeight w:val="340"/>
        </w:trPr>
        <w:tc>
          <w:tcPr>
            <w:tcW w:w="3340" w:type="dxa"/>
            <w:shd w:val="clear" w:color="auto" w:fill="auto"/>
            <w:noWrap/>
            <w:vAlign w:val="center"/>
            <w:hideMark/>
          </w:tcPr>
          <w:p w14:paraId="120A1C08" w14:textId="72B3ACEE" w:rsidR="009E622C" w:rsidRPr="009E622C" w:rsidRDefault="009E622C" w:rsidP="00395DAD">
            <w:pPr>
              <w:spacing w:after="0" w:line="240" w:lineRule="auto"/>
              <w:rPr>
                <w:rFonts w:ascii="Calibri" w:eastAsia="Times New Roman" w:hAnsi="Calibri" w:cs="Times New Roman"/>
                <w:b/>
                <w:bCs/>
                <w:color w:val="000000"/>
                <w:lang w:eastAsia="cs-CZ"/>
              </w:rPr>
            </w:pPr>
            <w:r w:rsidRPr="009E622C">
              <w:rPr>
                <w:b/>
                <w:bCs/>
              </w:rPr>
              <w:t>CELKEM</w:t>
            </w:r>
          </w:p>
        </w:tc>
        <w:tc>
          <w:tcPr>
            <w:tcW w:w="1088" w:type="dxa"/>
            <w:shd w:val="clear" w:color="auto" w:fill="auto"/>
            <w:vAlign w:val="center"/>
            <w:hideMark/>
          </w:tcPr>
          <w:p w14:paraId="28E20FC3" w14:textId="3B49BA18" w:rsidR="009E622C" w:rsidRPr="009E622C" w:rsidRDefault="009E622C" w:rsidP="00395DAD">
            <w:pPr>
              <w:spacing w:after="0" w:line="240" w:lineRule="auto"/>
              <w:jc w:val="right"/>
              <w:rPr>
                <w:rFonts w:ascii="Calibri" w:eastAsia="Times New Roman" w:hAnsi="Calibri" w:cs="Times New Roman"/>
                <w:b/>
                <w:bCs/>
                <w:color w:val="000000"/>
                <w:lang w:eastAsia="cs-CZ"/>
              </w:rPr>
            </w:pPr>
            <w:r w:rsidRPr="009E622C">
              <w:rPr>
                <w:b/>
                <w:bCs/>
              </w:rPr>
              <w:t>2 626</w:t>
            </w:r>
          </w:p>
        </w:tc>
        <w:tc>
          <w:tcPr>
            <w:tcW w:w="2088" w:type="dxa"/>
            <w:shd w:val="clear" w:color="auto" w:fill="auto"/>
            <w:vAlign w:val="center"/>
            <w:hideMark/>
          </w:tcPr>
          <w:p w14:paraId="03836FCE" w14:textId="70929D69" w:rsidR="009E622C" w:rsidRPr="009E622C" w:rsidRDefault="009E622C" w:rsidP="00395DAD">
            <w:pPr>
              <w:spacing w:after="0" w:line="240" w:lineRule="auto"/>
              <w:jc w:val="right"/>
              <w:rPr>
                <w:rFonts w:ascii="Calibri" w:eastAsia="Times New Roman" w:hAnsi="Calibri" w:cs="Times New Roman"/>
                <w:b/>
                <w:bCs/>
                <w:color w:val="000000"/>
                <w:lang w:eastAsia="cs-CZ"/>
              </w:rPr>
            </w:pPr>
            <w:r w:rsidRPr="009E622C">
              <w:rPr>
                <w:b/>
                <w:bCs/>
              </w:rPr>
              <w:t>100</w:t>
            </w:r>
            <w:r w:rsidR="00A7392F">
              <w:rPr>
                <w:b/>
                <w:bCs/>
              </w:rPr>
              <w:t xml:space="preserve"> </w:t>
            </w:r>
            <w:r w:rsidRPr="009E622C">
              <w:rPr>
                <w:b/>
                <w:bCs/>
              </w:rPr>
              <w:t>%</w:t>
            </w:r>
          </w:p>
        </w:tc>
      </w:tr>
    </w:tbl>
    <w:p w14:paraId="6E88039E" w14:textId="51CF11CF" w:rsidR="006E4E51" w:rsidRDefault="00395DAD" w:rsidP="003F4E47">
      <w:pPr>
        <w:spacing w:before="240" w:after="120"/>
        <w:jc w:val="both"/>
        <w:rPr>
          <w:rFonts w:asciiTheme="majorHAnsi" w:eastAsiaTheme="majorEastAsia" w:hAnsiTheme="majorHAnsi" w:cstheme="majorBidi"/>
          <w:b/>
          <w:color w:val="004B8D" w:themeColor="text2"/>
          <w:sz w:val="28"/>
          <w:szCs w:val="32"/>
        </w:rPr>
      </w:pPr>
      <w:r>
        <w:t>Srovnání počtu výsledků plánovaných v podpořených projektech a očekávaných v návrhu Programu je</w:t>
      </w:r>
      <w:r w:rsidR="002342AB">
        <w:t> </w:t>
      </w:r>
      <w:r>
        <w:t>uvedeno v kapitole 8.</w:t>
      </w:r>
      <w:r w:rsidR="006E4E51">
        <w:br w:type="page"/>
      </w:r>
    </w:p>
    <w:p w14:paraId="7E2D1549" w14:textId="2B40C310" w:rsidR="00052D03" w:rsidRDefault="00F958EF" w:rsidP="00F65956">
      <w:pPr>
        <w:pStyle w:val="Nadpis1"/>
      </w:pPr>
      <w:bookmarkStart w:id="45" w:name="_Toc185334560"/>
      <w:r>
        <w:lastRenderedPageBreak/>
        <w:t>KONTROLA</w:t>
      </w:r>
      <w:bookmarkEnd w:id="45"/>
    </w:p>
    <w:p w14:paraId="5C18935A" w14:textId="5A5A640F" w:rsidR="00F958EF" w:rsidRPr="00F958EF" w:rsidRDefault="00DF597A" w:rsidP="00AA3C29">
      <w:pPr>
        <w:pStyle w:val="Nadpis2"/>
      </w:pPr>
      <w:bookmarkStart w:id="46" w:name="_Toc185334561"/>
      <w:r>
        <w:t>K</w:t>
      </w:r>
      <w:r w:rsidR="00F958EF" w:rsidRPr="00F958EF">
        <w:t>ontrol</w:t>
      </w:r>
      <w:r>
        <w:t>a</w:t>
      </w:r>
      <w:r w:rsidR="00F958EF" w:rsidRPr="00F958EF">
        <w:t xml:space="preserve"> podpořených projektů</w:t>
      </w:r>
      <w:bookmarkEnd w:id="46"/>
    </w:p>
    <w:p w14:paraId="0DBFBB90" w14:textId="2F0B46D9" w:rsidR="0062002C" w:rsidRDefault="006114F2" w:rsidP="006114F2">
      <w:pPr>
        <w:jc w:val="both"/>
      </w:pPr>
      <w:r w:rsidRPr="00B10CE5">
        <w:t xml:space="preserve">V letech </w:t>
      </w:r>
      <w:r w:rsidR="00B10CE5" w:rsidRPr="00B10CE5">
        <w:t>2021–202</w:t>
      </w:r>
      <w:r w:rsidR="0062002C">
        <w:t>4</w:t>
      </w:r>
      <w:r w:rsidRPr="00B10CE5">
        <w:t xml:space="preserve"> bylo </w:t>
      </w:r>
      <w:r w:rsidR="0062002C" w:rsidRPr="00B10CE5">
        <w:t>u</w:t>
      </w:r>
      <w:r w:rsidR="0062002C">
        <w:t> </w:t>
      </w:r>
      <w:r w:rsidR="0062002C" w:rsidRPr="00B10CE5">
        <w:t xml:space="preserve">projektů programu TREND </w:t>
      </w:r>
      <w:r w:rsidRPr="00B10CE5">
        <w:t xml:space="preserve">zahájeno </w:t>
      </w:r>
      <w:r w:rsidR="0062002C">
        <w:t>73</w:t>
      </w:r>
      <w:r w:rsidRPr="00B10CE5">
        <w:t xml:space="preserve"> kontrol na místě, z</w:t>
      </w:r>
      <w:r w:rsidR="00CE7C79">
        <w:t> </w:t>
      </w:r>
      <w:r w:rsidRPr="00B10CE5">
        <w:t xml:space="preserve">toho </w:t>
      </w:r>
      <w:r w:rsidR="0062002C">
        <w:t>63</w:t>
      </w:r>
      <w:r w:rsidRPr="00B10CE5">
        <w:t xml:space="preserve"> kontrol bylo k</w:t>
      </w:r>
      <w:r w:rsidR="00CE7C79">
        <w:t> </w:t>
      </w:r>
      <w:r w:rsidRPr="00B10CE5">
        <w:t>1</w:t>
      </w:r>
      <w:r w:rsidR="0062002C">
        <w:t>0</w:t>
      </w:r>
      <w:r w:rsidRPr="00B10CE5">
        <w:t>. 12.</w:t>
      </w:r>
      <w:r w:rsidR="00B10CE5">
        <w:t xml:space="preserve"> 202</w:t>
      </w:r>
      <w:r w:rsidR="0062002C">
        <w:t>4</w:t>
      </w:r>
      <w:r w:rsidRPr="00B10CE5">
        <w:t xml:space="preserve"> již ukončeno. </w:t>
      </w:r>
      <w:r w:rsidR="0062002C" w:rsidRPr="0062002C">
        <w:t>V roce 2024 došlo na základě rozhodnutí PřTA ke zrušení 1 kontroly ze</w:t>
      </w:r>
      <w:r w:rsidR="0062002C">
        <w:t> </w:t>
      </w:r>
      <w:r w:rsidR="0062002C" w:rsidRPr="0062002C">
        <w:t>schváleného plánu kontrol pro rok 2024.</w:t>
      </w:r>
    </w:p>
    <w:p w14:paraId="230A24A1" w14:textId="32E7D9C8" w:rsidR="006114F2" w:rsidRDefault="006114F2" w:rsidP="006114F2">
      <w:pPr>
        <w:jc w:val="both"/>
        <w:rPr>
          <w:shd w:val="clear" w:color="auto" w:fill="93C47D"/>
        </w:rPr>
      </w:pPr>
      <w:r w:rsidRPr="00B10CE5">
        <w:t>U</w:t>
      </w:r>
      <w:r w:rsidR="00CE7C79">
        <w:t> </w:t>
      </w:r>
      <w:r w:rsidRPr="00B10CE5">
        <w:t>všech projektů bylo na vzorku nákladů ověřováno, zda má příjemce s</w:t>
      </w:r>
      <w:r w:rsidR="00CE7C79">
        <w:t> </w:t>
      </w:r>
      <w:r w:rsidRPr="00B10CE5">
        <w:t>dalšími účastníky uzavřenu smlouvu o</w:t>
      </w:r>
      <w:r w:rsidR="00CE7C79">
        <w:t> </w:t>
      </w:r>
      <w:r w:rsidRPr="00B10CE5">
        <w:t>účasti na řešení projektu, zda vykázané náklady splňují všechny podmínky uznatelnosti nákladů, zda jsou náklady projektu evidovány v</w:t>
      </w:r>
      <w:r w:rsidR="00CE7C79">
        <w:t> </w:t>
      </w:r>
      <w:r w:rsidRPr="00B10CE5">
        <w:t>oddělené účetní evidenci nákladů projektu a</w:t>
      </w:r>
      <w:r w:rsidR="00CE7C79">
        <w:t> </w:t>
      </w:r>
      <w:r w:rsidRPr="00B10CE5">
        <w:t>zda údaje uvedené ve finanční části průběžných</w:t>
      </w:r>
      <w:r w:rsidR="00395DAD">
        <w:t>,</w:t>
      </w:r>
      <w:r w:rsidRPr="00B10CE5">
        <w:t xml:space="preserve"> resp. závěrečných zpráv odpovídají skutečnosti</w:t>
      </w:r>
      <w:r w:rsidR="00395DAD">
        <w:t>,</w:t>
      </w:r>
      <w:r w:rsidRPr="00B10CE5">
        <w:t xml:space="preserve"> tj. údajům v</w:t>
      </w:r>
      <w:r w:rsidR="00CE7C79">
        <w:t> </w:t>
      </w:r>
      <w:r w:rsidRPr="00B10CE5">
        <w:t>účetní evidenci.  U</w:t>
      </w:r>
      <w:r w:rsidR="00CE7C79">
        <w:t> </w:t>
      </w:r>
      <w:r w:rsidR="0062002C">
        <w:t>48</w:t>
      </w:r>
      <w:r w:rsidRPr="00B10CE5">
        <w:t xml:space="preserve"> projektů byla současně prověřována i</w:t>
      </w:r>
      <w:r w:rsidR="00CE7C79">
        <w:t> </w:t>
      </w:r>
      <w:r w:rsidRPr="00B10CE5">
        <w:t>věcná část projektu.</w:t>
      </w:r>
      <w:r>
        <w:rPr>
          <w:shd w:val="clear" w:color="auto" w:fill="93C47D"/>
        </w:rPr>
        <w:t xml:space="preserve"> </w:t>
      </w:r>
    </w:p>
    <w:p w14:paraId="572BF500" w14:textId="35DF0F87" w:rsidR="006114F2" w:rsidRDefault="006114F2" w:rsidP="006114F2">
      <w:pPr>
        <w:jc w:val="both"/>
        <w:rPr>
          <w:shd w:val="clear" w:color="auto" w:fill="93C47D"/>
        </w:rPr>
      </w:pPr>
      <w:r w:rsidRPr="008B4562">
        <w:t xml:space="preserve">V rámci ukončených kontrol bylo zjištěno, že pouze </w:t>
      </w:r>
      <w:r w:rsidR="0062002C">
        <w:t>10</w:t>
      </w:r>
      <w:r w:rsidRPr="008B4562">
        <w:t xml:space="preserve"> projektů bylo realizováno v</w:t>
      </w:r>
      <w:r w:rsidR="00CE7C79">
        <w:t> </w:t>
      </w:r>
      <w:r w:rsidRPr="008B4562">
        <w:t>souladu s</w:t>
      </w:r>
      <w:r w:rsidR="00CE7C79">
        <w:t> </w:t>
      </w:r>
      <w:r w:rsidRPr="008B4562">
        <w:t>podmínkami, za</w:t>
      </w:r>
      <w:r w:rsidR="00544EB6">
        <w:t> </w:t>
      </w:r>
      <w:r w:rsidRPr="008B4562">
        <w:t>nichž byla udělena dotace. U</w:t>
      </w:r>
      <w:r w:rsidR="00CE7C79">
        <w:t> </w:t>
      </w:r>
      <w:r w:rsidR="0062002C">
        <w:t>54</w:t>
      </w:r>
      <w:r w:rsidRPr="008B4562">
        <w:t xml:space="preserve"> projektů (což se neodlišuje od ostatních programů) bylo kontrolou zjištěno nějaké pochybení, a</w:t>
      </w:r>
      <w:r w:rsidR="00CE7C79">
        <w:t> </w:t>
      </w:r>
      <w:r w:rsidRPr="008B4562">
        <w:t>to:</w:t>
      </w:r>
      <w:r>
        <w:rPr>
          <w:shd w:val="clear" w:color="auto" w:fill="93C47D"/>
        </w:rPr>
        <w:t xml:space="preserve"> </w:t>
      </w:r>
    </w:p>
    <w:p w14:paraId="4C62E9E6" w14:textId="493B7A4F" w:rsidR="006114F2" w:rsidRDefault="006114F2" w:rsidP="006114F2">
      <w:pPr>
        <w:numPr>
          <w:ilvl w:val="0"/>
          <w:numId w:val="27"/>
        </w:numPr>
        <w:spacing w:after="0"/>
        <w:jc w:val="both"/>
        <w:rPr>
          <w:shd w:val="clear" w:color="auto" w:fill="93C47D"/>
        </w:rPr>
      </w:pPr>
      <w:r w:rsidRPr="00B10CE5">
        <w:t xml:space="preserve">u </w:t>
      </w:r>
      <w:r w:rsidR="0062002C">
        <w:t>49</w:t>
      </w:r>
      <w:r w:rsidRPr="00B10CE5">
        <w:t xml:space="preserve"> projektů pochybení pouze ve finanční části,</w:t>
      </w:r>
      <w:r w:rsidRPr="0062002C">
        <w:t xml:space="preserve"> </w:t>
      </w:r>
      <w:r w:rsidR="0062002C" w:rsidRPr="0062002C">
        <w:t>případně také pochybení související s uzavřením a</w:t>
      </w:r>
      <w:r w:rsidR="0062002C">
        <w:t> </w:t>
      </w:r>
      <w:r w:rsidR="0062002C" w:rsidRPr="0062002C">
        <w:t>zveřejněním smlouvy o účasti na řešení projektu</w:t>
      </w:r>
      <w:r w:rsidR="0062002C">
        <w:t>,</w:t>
      </w:r>
    </w:p>
    <w:p w14:paraId="09B401C9" w14:textId="0B7FBF80" w:rsidR="006114F2" w:rsidRDefault="006114F2" w:rsidP="006114F2">
      <w:pPr>
        <w:numPr>
          <w:ilvl w:val="0"/>
          <w:numId w:val="27"/>
        </w:numPr>
        <w:spacing w:after="0"/>
        <w:jc w:val="both"/>
        <w:rPr>
          <w:shd w:val="clear" w:color="auto" w:fill="93C47D"/>
        </w:rPr>
      </w:pPr>
      <w:r w:rsidRPr="00B10CE5">
        <w:t xml:space="preserve">u </w:t>
      </w:r>
      <w:r w:rsidR="0062002C">
        <w:t>5</w:t>
      </w:r>
      <w:r w:rsidRPr="00B10CE5">
        <w:t xml:space="preserve"> projektů pochybení ve finanční i</w:t>
      </w:r>
      <w:r w:rsidR="00CE7C79">
        <w:t> </w:t>
      </w:r>
      <w:r w:rsidRPr="00B10CE5">
        <w:t>věcné části,</w:t>
      </w:r>
      <w:r>
        <w:rPr>
          <w:shd w:val="clear" w:color="auto" w:fill="93C47D"/>
        </w:rPr>
        <w:t xml:space="preserve"> </w:t>
      </w:r>
    </w:p>
    <w:p w14:paraId="59B53EB4" w14:textId="303A7609" w:rsidR="006114F2" w:rsidRDefault="006114F2" w:rsidP="006114F2">
      <w:pPr>
        <w:numPr>
          <w:ilvl w:val="0"/>
          <w:numId w:val="27"/>
        </w:numPr>
        <w:jc w:val="both"/>
        <w:rPr>
          <w:shd w:val="clear" w:color="auto" w:fill="93C47D"/>
        </w:rPr>
      </w:pPr>
      <w:r w:rsidRPr="00B10CE5">
        <w:t xml:space="preserve">u 1 projektu </w:t>
      </w:r>
      <w:r w:rsidR="0062002C">
        <w:t xml:space="preserve">v roce 2022 pouze </w:t>
      </w:r>
      <w:r w:rsidRPr="00B10CE5">
        <w:t>ostatní pochybení (nezveřejnění smlouvy o</w:t>
      </w:r>
      <w:r w:rsidR="00CE7C79">
        <w:t> </w:t>
      </w:r>
      <w:r w:rsidRPr="00B10CE5">
        <w:t>účasti na řešení projektu</w:t>
      </w:r>
      <w:r w:rsidR="00B10CE5">
        <w:t>).</w:t>
      </w:r>
    </w:p>
    <w:p w14:paraId="1933728F" w14:textId="416FE796" w:rsidR="006114F2" w:rsidRDefault="006114F2" w:rsidP="006114F2">
      <w:pPr>
        <w:jc w:val="both"/>
        <w:rPr>
          <w:shd w:val="clear" w:color="auto" w:fill="93C47D"/>
        </w:rPr>
      </w:pPr>
      <w:r w:rsidRPr="00B10CE5">
        <w:t>V případě, že byly kontrolou zjištěny neuznané náklady, byl příjemce po skončení kontroly vyzván k</w:t>
      </w:r>
      <w:r w:rsidR="00CE7C79">
        <w:t> </w:t>
      </w:r>
      <w:r w:rsidRPr="00B10CE5">
        <w:t>vrácení té části dotace, která byla použita na úhradu neuznaných nákladů, dle ustanovení § 14f zákona č. 218/2000 Sb., o</w:t>
      </w:r>
      <w:r w:rsidR="00CE7C79">
        <w:t> </w:t>
      </w:r>
      <w:r w:rsidRPr="00B10CE5">
        <w:t>rozpočtových pravidlech a</w:t>
      </w:r>
      <w:r w:rsidR="00CE7C79">
        <w:t> </w:t>
      </w:r>
      <w:r w:rsidRPr="00B10CE5">
        <w:t>o změně některých souvisejících zákonů. Následně je na místně příslu</w:t>
      </w:r>
      <w:r w:rsidR="00594E33" w:rsidRPr="00B10CE5">
        <w:t>š</w:t>
      </w:r>
      <w:r w:rsidRPr="00B10CE5">
        <w:t>ný finanční úřad zaslána informace o</w:t>
      </w:r>
      <w:r w:rsidR="00CE7C79">
        <w:t> </w:t>
      </w:r>
      <w:r w:rsidRPr="00B10CE5">
        <w:t>vrácení dotace nebo informace o</w:t>
      </w:r>
      <w:r w:rsidR="00CE7C79">
        <w:t> </w:t>
      </w:r>
      <w:r w:rsidRPr="00B10CE5">
        <w:t>vzniku podezření na porušení rozpočtové kázně.</w:t>
      </w:r>
      <w:r>
        <w:rPr>
          <w:shd w:val="clear" w:color="auto" w:fill="93C47D"/>
        </w:rPr>
        <w:t xml:space="preserve"> </w:t>
      </w:r>
    </w:p>
    <w:p w14:paraId="025170D0" w14:textId="296CFB7D" w:rsidR="00F958EF" w:rsidRPr="00A8398E" w:rsidRDefault="006114F2" w:rsidP="00DA499E">
      <w:pPr>
        <w:jc w:val="both"/>
        <w:rPr>
          <w:i/>
          <w:szCs w:val="28"/>
        </w:rPr>
      </w:pPr>
      <w:r w:rsidRPr="00B10CE5">
        <w:t>Vedle VSK může TA ČR na základě podnětu (nejčastěji referenta či zpravodaje) zkontrolovat projekty formou monitorovacích návštěv a</w:t>
      </w:r>
      <w:r w:rsidR="00CE7C79">
        <w:t> </w:t>
      </w:r>
      <w:r w:rsidRPr="00B10CE5">
        <w:t>průběžných oponentních řízení. Příjemce na připravené prezentaci představí dosavadní průběh projektu, představí stav výsledků, případně představí již dosažené. Může proběhnout diskuse se zpravodajem či oponentem. V</w:t>
      </w:r>
      <w:r w:rsidR="00CE7C79">
        <w:t> </w:t>
      </w:r>
      <w:r w:rsidRPr="00B10CE5">
        <w:t>protokolu z</w:t>
      </w:r>
      <w:r w:rsidR="00CE7C79">
        <w:t> </w:t>
      </w:r>
      <w:r w:rsidRPr="00B10CE5">
        <w:t xml:space="preserve">těchto kontrol může poskytovatel příjemci udělit doporučení či nápravná </w:t>
      </w:r>
      <w:r w:rsidR="001D48A4" w:rsidRPr="00B10CE5">
        <w:t>opatření</w:t>
      </w:r>
      <w:r w:rsidRPr="00B10CE5">
        <w:t>. V</w:t>
      </w:r>
      <w:r w:rsidR="00CE7C79">
        <w:t> </w:t>
      </w:r>
      <w:r w:rsidRPr="00B10CE5">
        <w:t>letech 2021-202</w:t>
      </w:r>
      <w:r w:rsidR="0062002C">
        <w:t>4</w:t>
      </w:r>
      <w:r w:rsidRPr="00B10CE5">
        <w:t xml:space="preserve"> proběhlo </w:t>
      </w:r>
      <w:r w:rsidR="0062002C">
        <w:t>23</w:t>
      </w:r>
      <w:r w:rsidRPr="00B10CE5">
        <w:t xml:space="preserve"> monitorovacích návštěv a</w:t>
      </w:r>
      <w:r w:rsidR="00CE7C79">
        <w:t> </w:t>
      </w:r>
      <w:r w:rsidRPr="00B10CE5">
        <w:t>6 průběžných oponentních řízení.</w:t>
      </w:r>
      <w:r w:rsidR="00B32D79" w:rsidRPr="00A8398E">
        <w:rPr>
          <w:i/>
          <w:szCs w:val="28"/>
          <w:shd w:val="clear" w:color="auto" w:fill="FFFF00"/>
        </w:rPr>
        <w:t xml:space="preserve"> </w:t>
      </w:r>
    </w:p>
    <w:p w14:paraId="61317106" w14:textId="345F553E" w:rsidR="00B32D79" w:rsidRDefault="00B32D79" w:rsidP="00AA3C29">
      <w:pPr>
        <w:pStyle w:val="Nadpis2"/>
      </w:pPr>
      <w:bookmarkStart w:id="47" w:name="_Toc185334562"/>
      <w:r>
        <w:t xml:space="preserve">Kontrola </w:t>
      </w:r>
      <w:r w:rsidR="00F72B3A">
        <w:t>P</w:t>
      </w:r>
      <w:r w:rsidR="00E264FC">
        <w:t>rogramu</w:t>
      </w:r>
      <w:bookmarkEnd w:id="47"/>
    </w:p>
    <w:p w14:paraId="1461E713" w14:textId="5445E7DA" w:rsidR="00E264FC" w:rsidRPr="00E264FC" w:rsidRDefault="00E264FC" w:rsidP="00544EB6">
      <w:pPr>
        <w:spacing w:after="120"/>
        <w:jc w:val="both"/>
        <w:rPr>
          <w:b/>
          <w:bCs/>
        </w:rPr>
      </w:pPr>
      <w:r w:rsidRPr="00E264FC">
        <w:rPr>
          <w:b/>
          <w:bCs/>
        </w:rPr>
        <w:t>Kontrolní akce N</w:t>
      </w:r>
      <w:r>
        <w:rPr>
          <w:b/>
          <w:bCs/>
        </w:rPr>
        <w:t>ejvyššího kontrolního úřadu</w:t>
      </w:r>
    </w:p>
    <w:p w14:paraId="0AEA8205" w14:textId="59528333" w:rsidR="00E264FC" w:rsidRDefault="00E264FC" w:rsidP="00544EB6">
      <w:pPr>
        <w:spacing w:after="120"/>
        <w:jc w:val="both"/>
      </w:pPr>
      <w:r>
        <w:t>Realizace programu TREND byla předmětem kontroly Nejvyššího kontrolního úřadu (dále také jen „NKÚ“). Cílem předmětné kontrolní akce č. 21/30 „Peněžní prostředky státního rozpočtu určené na účelovou podporu průmyslového výzkumu, vývoje a inovací v rámci národních programů v gesci Ministerstva průmyslu a obchodu“ bylo prověřit, zda jsou peněžní prostředky určené na účelovou podporu průmyslového výzkumu, experimentálního vývoje a inovací z národních programů MPO poskytovány účelně a efektivně. Kontrolní akce byla prováděna v době od listopadu 2021 do května 2022, a to u MPO, u TA ČR a u vybraných příjemců podpory. Kontrolovaným obdobím byly roky 2016 až 2021 a kontrolovanými programy byly TRIO, TREND a The Country for the Future.</w:t>
      </w:r>
    </w:p>
    <w:p w14:paraId="618AC38B" w14:textId="2396393E" w:rsidR="00E264FC" w:rsidRDefault="00E264FC" w:rsidP="00544EB6">
      <w:pPr>
        <w:spacing w:after="120"/>
        <w:jc w:val="both"/>
      </w:pPr>
      <w:r>
        <w:lastRenderedPageBreak/>
        <w:t xml:space="preserve">NKÚ v kontrolním závěru konstatoval především nedostatky spočívající v riziku neúčelného a neefektivního vynaložení peněžních prostředků, respektive v nevytvoření podmínek pro vyhodnocení účelnosti a efektivnosti poskytnuté podpory, a to především na základě porovnání plánovaných a dosahovaných ekonomických přínosů konkrétních projektů. </w:t>
      </w:r>
      <w:r w:rsidRPr="006E4E51">
        <w:rPr>
          <w:b/>
          <w:bCs/>
        </w:rPr>
        <w:t xml:space="preserve">MPO </w:t>
      </w:r>
      <w:r w:rsidR="0062002C">
        <w:rPr>
          <w:b/>
          <w:bCs/>
        </w:rPr>
        <w:t>z</w:t>
      </w:r>
      <w:r w:rsidRPr="006E4E51">
        <w:rPr>
          <w:b/>
          <w:bCs/>
        </w:rPr>
        <w:t>ásadně odmítl</w:t>
      </w:r>
      <w:r w:rsidR="0062002C">
        <w:rPr>
          <w:b/>
          <w:bCs/>
        </w:rPr>
        <w:t>o</w:t>
      </w:r>
      <w:r w:rsidRPr="006E4E51">
        <w:rPr>
          <w:b/>
          <w:bCs/>
        </w:rPr>
        <w:t xml:space="preserve"> většinu hlavních kontrolních zjištění</w:t>
      </w:r>
      <w:r w:rsidR="0062002C">
        <w:rPr>
          <w:b/>
          <w:bCs/>
        </w:rPr>
        <w:t xml:space="preserve"> </w:t>
      </w:r>
      <w:r w:rsidR="00DF08A1">
        <w:rPr>
          <w:b/>
          <w:bCs/>
        </w:rPr>
        <w:t xml:space="preserve">založených na tomto porovnání </w:t>
      </w:r>
      <w:r w:rsidRPr="006E4E51">
        <w:rPr>
          <w:b/>
          <w:bCs/>
        </w:rPr>
        <w:t>jako nepodložené a metodicky chybné</w:t>
      </w:r>
      <w:r w:rsidR="00395DAD">
        <w:rPr>
          <w:b/>
          <w:bCs/>
        </w:rPr>
        <w:t xml:space="preserve"> závěry</w:t>
      </w:r>
      <w:r>
        <w:t>, a to pro nerelevantní postup NKÚ při určování „efektivních“ a „neefektivních“ projektů</w:t>
      </w:r>
      <w:r w:rsidR="00DF08A1">
        <w:t>. Tento postup</w:t>
      </w:r>
      <w:r>
        <w:t xml:space="preserve"> nerespekt</w:t>
      </w:r>
      <w:r w:rsidR="00DF08A1">
        <w:t>oval</w:t>
      </w:r>
      <w:r>
        <w:t xml:space="preserve"> legislativní rámec, definice základních pojmů, text programů, smluvní podmínky poskytnutí podpory a celkový smysl a záměr podpory projektů výzkumu a vývoje definovaný v příslušných strategických a legislativních dokumentech ČR i EU. Ekonomické přínosy jsou podle podmínek program</w:t>
      </w:r>
      <w:r w:rsidR="00F72B3A">
        <w:t>ů</w:t>
      </w:r>
      <w:r>
        <w:t xml:space="preserve"> explicitně pouze jedním z podkladů, ať už ty očekávané při hodnocení návrhu projektu, nebo ty dosahované v rámci monitoringu implementace výsledků projektů, ale nemůže se</w:t>
      </w:r>
      <w:r w:rsidR="00395DAD">
        <w:t> </w:t>
      </w:r>
      <w:r>
        <w:t>jednat o hlavní, natož jediné měřítko hodnocení efektivity veřejné podpory na</w:t>
      </w:r>
      <w:r w:rsidR="00DF08A1">
        <w:t> </w:t>
      </w:r>
      <w:r>
        <w:t xml:space="preserve">výzkum a vývoj. </w:t>
      </w:r>
    </w:p>
    <w:p w14:paraId="237CA183" w14:textId="6058CC70" w:rsidR="00E264FC" w:rsidRDefault="00E264FC" w:rsidP="00544EB6">
      <w:pPr>
        <w:spacing w:after="120"/>
        <w:jc w:val="both"/>
      </w:pPr>
      <w:r>
        <w:t xml:space="preserve">Ač bere MPO jakékoli kontrolní výstupy, tím spíše kontroly NKÚ, jako </w:t>
      </w:r>
      <w:r w:rsidR="0062002C">
        <w:t xml:space="preserve">nezávislý </w:t>
      </w:r>
      <w:r>
        <w:t xml:space="preserve">podnět ke zlepšování postupů při poskytování podpory na VaVaI, NKÚ v rámci kontrolní akce 21/30 prezentoval </w:t>
      </w:r>
      <w:r w:rsidR="0062002C">
        <w:t xml:space="preserve">některé </w:t>
      </w:r>
      <w:r>
        <w:t>natolik nerealistické a </w:t>
      </w:r>
      <w:r w:rsidR="0062002C">
        <w:t>ne</w:t>
      </w:r>
      <w:r>
        <w:t xml:space="preserve">relevantní požadavky na tvorbu a hodnocení programů, že je v principu není možné zohlednit. NKÚ podporu na výzkum a vývoj </w:t>
      </w:r>
      <w:r w:rsidR="00DF08A1">
        <w:t xml:space="preserve">hodnotil </w:t>
      </w:r>
      <w:r>
        <w:t xml:space="preserve">jako jednoduché investiční aktivity, kde lze před jejich započetím a po jejich ukončení stanovit a objektivně a nezávisle vyhodnotit jejich reálný ekonomický dopad, což je zcela mimo realitu. Efektivita a účelnost podpory výzkumu a vývoje se nikde ve světě nehodnotí primárně krátkodobými přímými ekonomickými přínosy pro jednotlivé příjemce podpory, ale vždy je předmětem odborných, dlouhodobých a velmi komplexních evaluačních procesů. </w:t>
      </w:r>
    </w:p>
    <w:p w14:paraId="7F4CD549" w14:textId="1F51DEC3" w:rsidR="00E264FC" w:rsidRDefault="00E264FC" w:rsidP="00544EB6">
      <w:pPr>
        <w:spacing w:after="120"/>
        <w:jc w:val="both"/>
      </w:pPr>
      <w:r>
        <w:t>Přes výše uvedené výhrady MPO souhlasilo s potřebou dále se zaměřit na některé oblasti, do kterých závěry a doporučení NKÚ směřují, a ve stanovisku ke kontrolnímu závěru navrhlo řadu opatření, z nichž většina je realizována u MPO i TA ČR průběžně. Jedná se především o formulace podmínek veřejných soutěží a hodnoticích kritérií kladoucích důraz na aplikovatelnost výsledků a doložení jejich uplatnění v podnikové praxi, pravidelné hodnocení procesů v rámci veřejných soutěží, včetně nastavování hodnoticích kritérií, jejich srozumitelnosti a vhodnosti, obsahovou kontrolu všech jednotlivých odborných stanovisek, vzdělávání hodnotitelů jak formou pokynů pro hodnocení, tak formou školení před realizací hodnocení atd.</w:t>
      </w:r>
    </w:p>
    <w:p w14:paraId="419F4249" w14:textId="5D5BF131" w:rsidR="00E264FC" w:rsidRDefault="00E264FC" w:rsidP="00544EB6">
      <w:pPr>
        <w:spacing w:after="120"/>
        <w:jc w:val="both"/>
      </w:pPr>
      <w:r>
        <w:t xml:space="preserve">Závěrem této části lze konstatovat, že v období 2018–2023 bylo poskytování podpory na výzkum, vývoj a inovace </w:t>
      </w:r>
      <w:r w:rsidR="006E4E51">
        <w:t xml:space="preserve">z programů a dalších aktivit </w:t>
      </w:r>
      <w:r>
        <w:t>MPO předmětem hned čtyř kontrol NKÚ, takže se jedná o jednu z</w:t>
      </w:r>
      <w:r w:rsidR="006E4E51">
        <w:t> </w:t>
      </w:r>
      <w:r>
        <w:t>nejkontrolovanějších oblastí vůbec.</w:t>
      </w:r>
    </w:p>
    <w:p w14:paraId="15BED299" w14:textId="77777777" w:rsidR="00E264FC" w:rsidRPr="00E264FC" w:rsidRDefault="00E264FC" w:rsidP="00544EB6">
      <w:pPr>
        <w:spacing w:after="120"/>
        <w:jc w:val="both"/>
        <w:rPr>
          <w:b/>
          <w:bCs/>
        </w:rPr>
      </w:pPr>
      <w:r w:rsidRPr="00E264FC">
        <w:rPr>
          <w:b/>
          <w:bCs/>
        </w:rPr>
        <w:t>Kontrola Auditního orgánu Ministerstva financí</w:t>
      </w:r>
    </w:p>
    <w:p w14:paraId="0770B724" w14:textId="2EF30887" w:rsidR="00E264FC" w:rsidRPr="00E264FC" w:rsidRDefault="00E264FC" w:rsidP="00544EB6">
      <w:pPr>
        <w:spacing w:after="120"/>
        <w:jc w:val="both"/>
      </w:pPr>
      <w:r>
        <w:t xml:space="preserve">Vzhledem k tomu, že některé veřejné soutěže v programu TREND byly financovány z prostředků Národního plánu obnovy ČR, byl na tuto část Auditním orgánem Ministerstva financí realizován Audit testování věcné správnosti cíle č. 292 (č. NPO/2024/S/009). Audit systému byl vykonán ve smyslu čl. 22 nařízení Evropského parlamentu a Rady (EU) č. 241/2021, kterým se zřizuje Nástroj pro oživení a odolnost. Cílem bylo především ověřit, že dotčený cíl Národního plánu obnovy byl splněn dle stanovených podmínek, a dále ověřit mj. účinné provádění postupů k prevenci, odhalování a nápravě střetu zájmů, podvodů, korupce a dvojího financování. Audit byl tedy zaměřen na poměrně specifické podmínky, které se realizace programu TREND jako takového týkaly spíše okrajově, přesto lze považovat za významné, že audit neshledal </w:t>
      </w:r>
      <w:r w:rsidRPr="006E4E51">
        <w:rPr>
          <w:b/>
          <w:bCs/>
        </w:rPr>
        <w:t>žádné systémové ani konkrétní nedostatky v nastavení procesů při hodnocení projektů</w:t>
      </w:r>
      <w:r>
        <w:t xml:space="preserve"> a při ověřování případných duplicit a dalších rizikových aspektů výběru projektů k podpoře.</w:t>
      </w:r>
    </w:p>
    <w:p w14:paraId="68DB9259" w14:textId="748957BB" w:rsidR="006033F4" w:rsidRDefault="006033F4" w:rsidP="00F65956">
      <w:pPr>
        <w:pStyle w:val="Nadpis1"/>
      </w:pPr>
      <w:bookmarkStart w:id="48" w:name="_Toc185334563"/>
      <w:r>
        <w:lastRenderedPageBreak/>
        <w:t>NAPLŇOVÁNÍ INDIKÁTORŮ PROGRAMU</w:t>
      </w:r>
      <w:bookmarkEnd w:id="48"/>
    </w:p>
    <w:p w14:paraId="44C0FED9" w14:textId="4EAC46D1" w:rsidR="00F958EF" w:rsidRDefault="006033F4" w:rsidP="00DA499E">
      <w:pPr>
        <w:jc w:val="both"/>
      </w:pPr>
      <w:r>
        <w:t>V průběhu implementace jsou v</w:t>
      </w:r>
      <w:r w:rsidR="00CE7C79">
        <w:t> </w:t>
      </w:r>
      <w:r>
        <w:t>souladu s</w:t>
      </w:r>
      <w:r w:rsidR="00CE7C79">
        <w:t> </w:t>
      </w:r>
      <w:r>
        <w:t>textem Programu sledovány následující základní indikátory výstupů, u</w:t>
      </w:r>
      <w:r w:rsidR="00CE7C79">
        <w:t> </w:t>
      </w:r>
      <w:r>
        <w:t>nichž jsou uvedeny předpokládané hodnoty</w:t>
      </w:r>
      <w:r w:rsidR="00263DF0">
        <w:t xml:space="preserve"> a</w:t>
      </w:r>
      <w:r w:rsidR="00CE7C79">
        <w:t> </w:t>
      </w:r>
      <w:r w:rsidR="00263DF0">
        <w:t>aktuálně dosahované hodnoty.</w:t>
      </w:r>
    </w:p>
    <w:p w14:paraId="333EC3FD" w14:textId="405BC9DB" w:rsidR="00263DF0" w:rsidRPr="00263DF0" w:rsidRDefault="00A7392F" w:rsidP="00395DAD">
      <w:pPr>
        <w:spacing w:after="0"/>
        <w:jc w:val="both"/>
        <w:rPr>
          <w:i/>
          <w:szCs w:val="28"/>
        </w:rPr>
      </w:pPr>
      <w:bookmarkStart w:id="49" w:name="_Toc185334586"/>
      <w:r w:rsidRPr="00544EB6">
        <w:rPr>
          <w:b/>
          <w:i/>
          <w:iCs/>
        </w:rPr>
        <w:t xml:space="preserve">Tabulka </w:t>
      </w:r>
      <w:r w:rsidRPr="00395DAD">
        <w:rPr>
          <w:b/>
          <w:i/>
          <w:iCs/>
        </w:rPr>
        <w:fldChar w:fldCharType="begin"/>
      </w:r>
      <w:r w:rsidRPr="00395DAD">
        <w:rPr>
          <w:b/>
          <w:i/>
          <w:iCs/>
        </w:rPr>
        <w:instrText xml:space="preserve"> SEQ Tabulka \* ARABIC </w:instrText>
      </w:r>
      <w:r w:rsidRPr="00395DAD">
        <w:rPr>
          <w:b/>
          <w:i/>
          <w:iCs/>
        </w:rPr>
        <w:fldChar w:fldCharType="separate"/>
      </w:r>
      <w:r w:rsidR="00353407">
        <w:rPr>
          <w:b/>
          <w:i/>
          <w:iCs/>
          <w:noProof/>
        </w:rPr>
        <w:t>19</w:t>
      </w:r>
      <w:r w:rsidRPr="00395DAD">
        <w:rPr>
          <w:b/>
          <w:i/>
          <w:iCs/>
        </w:rPr>
        <w:fldChar w:fldCharType="end"/>
      </w:r>
      <w:r w:rsidRPr="00395DAD">
        <w:rPr>
          <w:b/>
          <w:i/>
          <w:iCs/>
        </w:rPr>
        <w:t xml:space="preserve">: </w:t>
      </w:r>
      <w:r w:rsidR="00263DF0" w:rsidRPr="00395DAD">
        <w:rPr>
          <w:b/>
          <w:i/>
        </w:rPr>
        <w:t>Naplňování indikátorů Programu</w:t>
      </w:r>
      <w:bookmarkEnd w:id="49"/>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2"/>
        <w:gridCol w:w="699"/>
        <w:gridCol w:w="708"/>
        <w:gridCol w:w="965"/>
        <w:gridCol w:w="7"/>
        <w:gridCol w:w="906"/>
        <w:gridCol w:w="937"/>
        <w:gridCol w:w="938"/>
        <w:gridCol w:w="7"/>
        <w:gridCol w:w="1343"/>
      </w:tblGrid>
      <w:tr w:rsidR="006033F4" w14:paraId="052AF7B5" w14:textId="1EDA0DF4" w:rsidTr="00F83586">
        <w:trPr>
          <w:trHeight w:val="110"/>
        </w:trPr>
        <w:tc>
          <w:tcPr>
            <w:tcW w:w="3222" w:type="dxa"/>
            <w:vMerge w:val="restart"/>
            <w:tcBorders>
              <w:top w:val="double" w:sz="4" w:space="0" w:color="auto"/>
              <w:left w:val="double" w:sz="4" w:space="0" w:color="auto"/>
              <w:right w:val="double" w:sz="4" w:space="0" w:color="auto"/>
            </w:tcBorders>
            <w:shd w:val="clear" w:color="auto" w:fill="B9E0F7" w:themeFill="accent5"/>
          </w:tcPr>
          <w:p w14:paraId="2399D017" w14:textId="3D69E74E" w:rsidR="006033F4" w:rsidRPr="00263DF0" w:rsidRDefault="006033F4" w:rsidP="006033F4">
            <w:pPr>
              <w:pStyle w:val="Default"/>
              <w:rPr>
                <w:b/>
                <w:sz w:val="22"/>
                <w:szCs w:val="22"/>
              </w:rPr>
            </w:pPr>
            <w:r w:rsidRPr="00263DF0">
              <w:rPr>
                <w:b/>
                <w:sz w:val="22"/>
                <w:szCs w:val="22"/>
              </w:rPr>
              <w:t xml:space="preserve">Indikátor (jednotka) </w:t>
            </w:r>
          </w:p>
        </w:tc>
        <w:tc>
          <w:tcPr>
            <w:tcW w:w="2379" w:type="dxa"/>
            <w:gridSpan w:val="4"/>
            <w:tcBorders>
              <w:top w:val="double" w:sz="4" w:space="0" w:color="auto"/>
              <w:left w:val="double" w:sz="4" w:space="0" w:color="auto"/>
              <w:right w:val="double" w:sz="4" w:space="0" w:color="auto"/>
            </w:tcBorders>
            <w:shd w:val="clear" w:color="auto" w:fill="B9E0F7" w:themeFill="accent5"/>
          </w:tcPr>
          <w:p w14:paraId="65ABFD1E" w14:textId="37F40919" w:rsidR="006033F4" w:rsidRDefault="00263DF0" w:rsidP="006033F4">
            <w:pPr>
              <w:pStyle w:val="Default"/>
              <w:rPr>
                <w:b/>
                <w:bCs/>
                <w:sz w:val="22"/>
                <w:szCs w:val="22"/>
              </w:rPr>
            </w:pPr>
            <w:r>
              <w:rPr>
                <w:b/>
                <w:bCs/>
                <w:sz w:val="22"/>
                <w:szCs w:val="22"/>
              </w:rPr>
              <w:t xml:space="preserve">Indikátory </w:t>
            </w:r>
            <w:r w:rsidR="006033F4">
              <w:rPr>
                <w:b/>
                <w:bCs/>
                <w:sz w:val="22"/>
                <w:szCs w:val="22"/>
              </w:rPr>
              <w:t>Program</w:t>
            </w:r>
            <w:r>
              <w:rPr>
                <w:b/>
                <w:bCs/>
                <w:sz w:val="22"/>
                <w:szCs w:val="22"/>
              </w:rPr>
              <w:t>u</w:t>
            </w:r>
          </w:p>
        </w:tc>
        <w:tc>
          <w:tcPr>
            <w:tcW w:w="2788" w:type="dxa"/>
            <w:gridSpan w:val="4"/>
            <w:tcBorders>
              <w:top w:val="double" w:sz="4" w:space="0" w:color="auto"/>
              <w:left w:val="double" w:sz="4" w:space="0" w:color="auto"/>
              <w:right w:val="double" w:sz="4" w:space="0" w:color="auto"/>
            </w:tcBorders>
            <w:shd w:val="clear" w:color="auto" w:fill="B9E0F7" w:themeFill="accent5"/>
          </w:tcPr>
          <w:p w14:paraId="6294E53B" w14:textId="1227A260" w:rsidR="006033F4" w:rsidRDefault="00263DF0" w:rsidP="006033F4">
            <w:pPr>
              <w:pStyle w:val="Default"/>
              <w:rPr>
                <w:b/>
                <w:bCs/>
                <w:sz w:val="22"/>
                <w:szCs w:val="22"/>
              </w:rPr>
            </w:pPr>
            <w:r>
              <w:rPr>
                <w:b/>
                <w:bCs/>
                <w:sz w:val="22"/>
                <w:szCs w:val="22"/>
              </w:rPr>
              <w:t xml:space="preserve">Průběžný stav </w:t>
            </w:r>
            <w:r w:rsidRPr="00263DF0">
              <w:rPr>
                <w:bCs/>
                <w:sz w:val="22"/>
                <w:szCs w:val="22"/>
              </w:rPr>
              <w:t>(</w:t>
            </w:r>
            <w:r>
              <w:rPr>
                <w:bCs/>
                <w:sz w:val="22"/>
                <w:szCs w:val="22"/>
              </w:rPr>
              <w:t xml:space="preserve">u </w:t>
            </w:r>
            <w:r w:rsidRPr="00263DF0">
              <w:rPr>
                <w:bCs/>
                <w:sz w:val="22"/>
                <w:szCs w:val="22"/>
              </w:rPr>
              <w:t>výsledků jde o</w:t>
            </w:r>
            <w:r w:rsidR="00CE7C79">
              <w:rPr>
                <w:bCs/>
                <w:sz w:val="22"/>
                <w:szCs w:val="22"/>
              </w:rPr>
              <w:t> </w:t>
            </w:r>
            <w:r w:rsidRPr="00263DF0">
              <w:rPr>
                <w:bCs/>
                <w:sz w:val="22"/>
                <w:szCs w:val="22"/>
              </w:rPr>
              <w:t xml:space="preserve">plánované výsledky podpořených projektů) </w:t>
            </w:r>
          </w:p>
        </w:tc>
        <w:tc>
          <w:tcPr>
            <w:tcW w:w="1343" w:type="dxa"/>
            <w:tcBorders>
              <w:top w:val="double" w:sz="4" w:space="0" w:color="auto"/>
              <w:left w:val="double" w:sz="4" w:space="0" w:color="auto"/>
              <w:right w:val="double" w:sz="4" w:space="0" w:color="auto"/>
            </w:tcBorders>
            <w:shd w:val="clear" w:color="auto" w:fill="B9E0F7" w:themeFill="accent5"/>
          </w:tcPr>
          <w:p w14:paraId="2E5610C0" w14:textId="63299E73" w:rsidR="006033F4" w:rsidRDefault="006033F4" w:rsidP="006033F4">
            <w:pPr>
              <w:pStyle w:val="Default"/>
              <w:rPr>
                <w:b/>
                <w:bCs/>
                <w:sz w:val="22"/>
                <w:szCs w:val="22"/>
              </w:rPr>
            </w:pPr>
            <w:r>
              <w:rPr>
                <w:b/>
                <w:bCs/>
                <w:sz w:val="22"/>
                <w:szCs w:val="22"/>
              </w:rPr>
              <w:t>Předpoklad naplnění (%)</w:t>
            </w:r>
          </w:p>
        </w:tc>
      </w:tr>
      <w:tr w:rsidR="006033F4" w14:paraId="5FC0D840" w14:textId="36CD57B0" w:rsidTr="00F83586">
        <w:trPr>
          <w:trHeight w:val="110"/>
        </w:trPr>
        <w:tc>
          <w:tcPr>
            <w:tcW w:w="3222" w:type="dxa"/>
            <w:vMerge/>
            <w:tcBorders>
              <w:left w:val="double" w:sz="4" w:space="0" w:color="auto"/>
              <w:bottom w:val="double" w:sz="4" w:space="0" w:color="auto"/>
              <w:right w:val="double" w:sz="4" w:space="0" w:color="auto"/>
            </w:tcBorders>
            <w:shd w:val="clear" w:color="auto" w:fill="B9E0F7" w:themeFill="accent5"/>
          </w:tcPr>
          <w:p w14:paraId="6B5BE10A" w14:textId="38F58130" w:rsidR="006033F4" w:rsidRDefault="006033F4" w:rsidP="006033F4">
            <w:pPr>
              <w:pStyle w:val="Default"/>
              <w:rPr>
                <w:sz w:val="22"/>
                <w:szCs w:val="22"/>
              </w:rPr>
            </w:pPr>
          </w:p>
        </w:tc>
        <w:tc>
          <w:tcPr>
            <w:tcW w:w="699" w:type="dxa"/>
            <w:tcBorders>
              <w:left w:val="double" w:sz="4" w:space="0" w:color="auto"/>
              <w:bottom w:val="double" w:sz="4" w:space="0" w:color="auto"/>
            </w:tcBorders>
            <w:shd w:val="clear" w:color="auto" w:fill="B9E0F7" w:themeFill="accent5"/>
          </w:tcPr>
          <w:p w14:paraId="3ED52C0D" w14:textId="77777777" w:rsidR="006033F4" w:rsidRDefault="006033F4" w:rsidP="006033F4">
            <w:pPr>
              <w:pStyle w:val="Default"/>
              <w:rPr>
                <w:sz w:val="22"/>
                <w:szCs w:val="22"/>
              </w:rPr>
            </w:pPr>
            <w:r>
              <w:rPr>
                <w:sz w:val="22"/>
                <w:szCs w:val="22"/>
              </w:rPr>
              <w:t xml:space="preserve">PP1 </w:t>
            </w:r>
          </w:p>
        </w:tc>
        <w:tc>
          <w:tcPr>
            <w:tcW w:w="708" w:type="dxa"/>
            <w:tcBorders>
              <w:bottom w:val="double" w:sz="4" w:space="0" w:color="auto"/>
            </w:tcBorders>
            <w:shd w:val="clear" w:color="auto" w:fill="B9E0F7" w:themeFill="accent5"/>
          </w:tcPr>
          <w:p w14:paraId="1307CC76" w14:textId="77777777" w:rsidR="006033F4" w:rsidRDefault="006033F4" w:rsidP="006033F4">
            <w:pPr>
              <w:pStyle w:val="Default"/>
              <w:rPr>
                <w:sz w:val="22"/>
                <w:szCs w:val="22"/>
              </w:rPr>
            </w:pPr>
            <w:r>
              <w:rPr>
                <w:sz w:val="22"/>
                <w:szCs w:val="22"/>
              </w:rPr>
              <w:t xml:space="preserve">PP2 </w:t>
            </w:r>
          </w:p>
        </w:tc>
        <w:tc>
          <w:tcPr>
            <w:tcW w:w="965" w:type="dxa"/>
            <w:tcBorders>
              <w:bottom w:val="double" w:sz="4" w:space="0" w:color="auto"/>
              <w:right w:val="double" w:sz="4" w:space="0" w:color="auto"/>
            </w:tcBorders>
            <w:shd w:val="clear" w:color="auto" w:fill="B9E0F7" w:themeFill="accent5"/>
          </w:tcPr>
          <w:p w14:paraId="2D3B8743" w14:textId="77777777" w:rsidR="006033F4" w:rsidRDefault="006033F4" w:rsidP="006033F4">
            <w:pPr>
              <w:pStyle w:val="Default"/>
              <w:rPr>
                <w:sz w:val="22"/>
                <w:szCs w:val="22"/>
              </w:rPr>
            </w:pPr>
            <w:r>
              <w:rPr>
                <w:b/>
                <w:bCs/>
                <w:sz w:val="22"/>
                <w:szCs w:val="22"/>
              </w:rPr>
              <w:t xml:space="preserve">Celkem </w:t>
            </w:r>
          </w:p>
        </w:tc>
        <w:tc>
          <w:tcPr>
            <w:tcW w:w="913" w:type="dxa"/>
            <w:gridSpan w:val="2"/>
            <w:tcBorders>
              <w:left w:val="double" w:sz="4" w:space="0" w:color="auto"/>
              <w:bottom w:val="double" w:sz="4" w:space="0" w:color="auto"/>
            </w:tcBorders>
            <w:shd w:val="clear" w:color="auto" w:fill="B9E0F7" w:themeFill="accent5"/>
          </w:tcPr>
          <w:p w14:paraId="5CC181B2" w14:textId="4FC906F8" w:rsidR="006033F4" w:rsidRDefault="006033F4" w:rsidP="006033F4">
            <w:pPr>
              <w:pStyle w:val="Default"/>
              <w:rPr>
                <w:b/>
                <w:bCs/>
                <w:sz w:val="22"/>
                <w:szCs w:val="22"/>
              </w:rPr>
            </w:pPr>
            <w:r>
              <w:rPr>
                <w:sz w:val="22"/>
                <w:szCs w:val="22"/>
              </w:rPr>
              <w:t xml:space="preserve">PP1 </w:t>
            </w:r>
          </w:p>
        </w:tc>
        <w:tc>
          <w:tcPr>
            <w:tcW w:w="937" w:type="dxa"/>
            <w:tcBorders>
              <w:bottom w:val="double" w:sz="4" w:space="0" w:color="auto"/>
            </w:tcBorders>
            <w:shd w:val="clear" w:color="auto" w:fill="B9E0F7" w:themeFill="accent5"/>
          </w:tcPr>
          <w:p w14:paraId="5DD8B9D1" w14:textId="6E1D3E5E" w:rsidR="006033F4" w:rsidRDefault="006033F4" w:rsidP="006033F4">
            <w:pPr>
              <w:pStyle w:val="Default"/>
              <w:rPr>
                <w:b/>
                <w:bCs/>
                <w:sz w:val="22"/>
                <w:szCs w:val="22"/>
              </w:rPr>
            </w:pPr>
            <w:r>
              <w:rPr>
                <w:sz w:val="22"/>
                <w:szCs w:val="22"/>
              </w:rPr>
              <w:t xml:space="preserve">PP2 </w:t>
            </w:r>
          </w:p>
        </w:tc>
        <w:tc>
          <w:tcPr>
            <w:tcW w:w="938" w:type="dxa"/>
            <w:tcBorders>
              <w:bottom w:val="double" w:sz="4" w:space="0" w:color="auto"/>
              <w:right w:val="double" w:sz="4" w:space="0" w:color="auto"/>
            </w:tcBorders>
            <w:shd w:val="clear" w:color="auto" w:fill="B9E0F7" w:themeFill="accent5"/>
          </w:tcPr>
          <w:p w14:paraId="23376D01" w14:textId="72EE9A06" w:rsidR="006033F4" w:rsidRDefault="006033F4" w:rsidP="006033F4">
            <w:pPr>
              <w:pStyle w:val="Default"/>
              <w:rPr>
                <w:b/>
                <w:bCs/>
                <w:sz w:val="22"/>
                <w:szCs w:val="22"/>
              </w:rPr>
            </w:pPr>
            <w:r>
              <w:rPr>
                <w:b/>
                <w:bCs/>
                <w:sz w:val="22"/>
                <w:szCs w:val="22"/>
              </w:rPr>
              <w:t xml:space="preserve">Celkem </w:t>
            </w:r>
          </w:p>
        </w:tc>
        <w:tc>
          <w:tcPr>
            <w:tcW w:w="1350" w:type="dxa"/>
            <w:gridSpan w:val="2"/>
            <w:tcBorders>
              <w:left w:val="double" w:sz="4" w:space="0" w:color="auto"/>
              <w:bottom w:val="double" w:sz="4" w:space="0" w:color="auto"/>
              <w:right w:val="double" w:sz="4" w:space="0" w:color="auto"/>
            </w:tcBorders>
            <w:shd w:val="clear" w:color="auto" w:fill="B9E0F7" w:themeFill="accent5"/>
          </w:tcPr>
          <w:p w14:paraId="7EA9CEC7" w14:textId="77777777" w:rsidR="006033F4" w:rsidRDefault="006033F4" w:rsidP="006033F4">
            <w:pPr>
              <w:pStyle w:val="Default"/>
              <w:rPr>
                <w:b/>
                <w:bCs/>
                <w:sz w:val="22"/>
                <w:szCs w:val="22"/>
              </w:rPr>
            </w:pPr>
          </w:p>
        </w:tc>
      </w:tr>
      <w:tr w:rsidR="006033F4" w14:paraId="67ACF0F5" w14:textId="536EB24F" w:rsidTr="001E601A">
        <w:trPr>
          <w:trHeight w:val="340"/>
        </w:trPr>
        <w:tc>
          <w:tcPr>
            <w:tcW w:w="3222" w:type="dxa"/>
            <w:tcBorders>
              <w:top w:val="double" w:sz="4" w:space="0" w:color="auto"/>
              <w:left w:val="double" w:sz="4" w:space="0" w:color="auto"/>
              <w:right w:val="double" w:sz="4" w:space="0" w:color="auto"/>
            </w:tcBorders>
            <w:vAlign w:val="center"/>
          </w:tcPr>
          <w:p w14:paraId="0434F0F6" w14:textId="77777777" w:rsidR="006033F4" w:rsidRDefault="006033F4" w:rsidP="00263DF0">
            <w:pPr>
              <w:pStyle w:val="Default"/>
              <w:rPr>
                <w:sz w:val="22"/>
                <w:szCs w:val="22"/>
              </w:rPr>
            </w:pPr>
            <w:r>
              <w:rPr>
                <w:sz w:val="22"/>
                <w:szCs w:val="22"/>
              </w:rPr>
              <w:t xml:space="preserve">podpořené projekty (počet) </w:t>
            </w:r>
          </w:p>
        </w:tc>
        <w:tc>
          <w:tcPr>
            <w:tcW w:w="699" w:type="dxa"/>
            <w:tcBorders>
              <w:top w:val="double" w:sz="4" w:space="0" w:color="auto"/>
              <w:left w:val="double" w:sz="4" w:space="0" w:color="auto"/>
            </w:tcBorders>
            <w:vAlign w:val="center"/>
          </w:tcPr>
          <w:p w14:paraId="7E0CBB72" w14:textId="77777777" w:rsidR="006033F4" w:rsidRDefault="006033F4" w:rsidP="00263DF0">
            <w:pPr>
              <w:pStyle w:val="Default"/>
              <w:jc w:val="right"/>
              <w:rPr>
                <w:sz w:val="22"/>
                <w:szCs w:val="22"/>
              </w:rPr>
            </w:pPr>
            <w:r>
              <w:rPr>
                <w:sz w:val="22"/>
                <w:szCs w:val="22"/>
              </w:rPr>
              <w:t xml:space="preserve">580 </w:t>
            </w:r>
          </w:p>
        </w:tc>
        <w:tc>
          <w:tcPr>
            <w:tcW w:w="708" w:type="dxa"/>
            <w:tcBorders>
              <w:top w:val="double" w:sz="4" w:space="0" w:color="auto"/>
            </w:tcBorders>
            <w:vAlign w:val="center"/>
          </w:tcPr>
          <w:p w14:paraId="497FF974" w14:textId="77777777" w:rsidR="006033F4" w:rsidRDefault="006033F4" w:rsidP="00263DF0">
            <w:pPr>
              <w:pStyle w:val="Default"/>
              <w:jc w:val="right"/>
              <w:rPr>
                <w:sz w:val="22"/>
                <w:szCs w:val="22"/>
              </w:rPr>
            </w:pPr>
            <w:r>
              <w:rPr>
                <w:sz w:val="22"/>
                <w:szCs w:val="22"/>
              </w:rPr>
              <w:t xml:space="preserve">50 </w:t>
            </w:r>
          </w:p>
        </w:tc>
        <w:tc>
          <w:tcPr>
            <w:tcW w:w="965" w:type="dxa"/>
            <w:tcBorders>
              <w:top w:val="double" w:sz="4" w:space="0" w:color="auto"/>
              <w:right w:val="double" w:sz="4" w:space="0" w:color="auto"/>
            </w:tcBorders>
            <w:vAlign w:val="center"/>
          </w:tcPr>
          <w:p w14:paraId="4D91A67D" w14:textId="77777777" w:rsidR="006033F4" w:rsidRDefault="006033F4" w:rsidP="00263DF0">
            <w:pPr>
              <w:pStyle w:val="Default"/>
              <w:jc w:val="right"/>
              <w:rPr>
                <w:sz w:val="22"/>
                <w:szCs w:val="22"/>
              </w:rPr>
            </w:pPr>
            <w:r>
              <w:rPr>
                <w:b/>
                <w:bCs/>
                <w:sz w:val="22"/>
                <w:szCs w:val="22"/>
              </w:rPr>
              <w:t xml:space="preserve">630 </w:t>
            </w:r>
          </w:p>
        </w:tc>
        <w:tc>
          <w:tcPr>
            <w:tcW w:w="913" w:type="dxa"/>
            <w:gridSpan w:val="2"/>
            <w:tcBorders>
              <w:top w:val="double" w:sz="4" w:space="0" w:color="auto"/>
              <w:left w:val="double" w:sz="4" w:space="0" w:color="auto"/>
            </w:tcBorders>
            <w:vAlign w:val="center"/>
          </w:tcPr>
          <w:p w14:paraId="468DD1E5" w14:textId="53C920A4" w:rsidR="006033F4" w:rsidRPr="00DF597A" w:rsidRDefault="00395DAD" w:rsidP="00263DF0">
            <w:pPr>
              <w:pStyle w:val="Default"/>
              <w:jc w:val="right"/>
              <w:rPr>
                <w:bCs/>
                <w:sz w:val="22"/>
                <w:szCs w:val="22"/>
              </w:rPr>
            </w:pPr>
            <w:r>
              <w:rPr>
                <w:bCs/>
                <w:sz w:val="22"/>
                <w:szCs w:val="22"/>
              </w:rPr>
              <w:t>589</w:t>
            </w:r>
          </w:p>
        </w:tc>
        <w:tc>
          <w:tcPr>
            <w:tcW w:w="937" w:type="dxa"/>
            <w:tcBorders>
              <w:top w:val="double" w:sz="4" w:space="0" w:color="auto"/>
            </w:tcBorders>
            <w:vAlign w:val="center"/>
          </w:tcPr>
          <w:p w14:paraId="4391C01F" w14:textId="2E954F34" w:rsidR="006033F4" w:rsidRPr="00DF597A" w:rsidRDefault="00395DAD" w:rsidP="00263DF0">
            <w:pPr>
              <w:pStyle w:val="Default"/>
              <w:jc w:val="right"/>
              <w:rPr>
                <w:bCs/>
                <w:sz w:val="22"/>
                <w:szCs w:val="22"/>
              </w:rPr>
            </w:pPr>
            <w:r>
              <w:rPr>
                <w:bCs/>
                <w:sz w:val="22"/>
                <w:szCs w:val="22"/>
              </w:rPr>
              <w:t>81</w:t>
            </w:r>
          </w:p>
        </w:tc>
        <w:tc>
          <w:tcPr>
            <w:tcW w:w="938" w:type="dxa"/>
            <w:tcBorders>
              <w:top w:val="double" w:sz="4" w:space="0" w:color="auto"/>
              <w:right w:val="double" w:sz="4" w:space="0" w:color="auto"/>
            </w:tcBorders>
            <w:vAlign w:val="center"/>
          </w:tcPr>
          <w:p w14:paraId="3E41BA4D" w14:textId="0F07B6BF" w:rsidR="006033F4" w:rsidRDefault="00395DAD" w:rsidP="00263DF0">
            <w:pPr>
              <w:pStyle w:val="Default"/>
              <w:jc w:val="right"/>
              <w:rPr>
                <w:b/>
                <w:bCs/>
                <w:sz w:val="22"/>
                <w:szCs w:val="22"/>
              </w:rPr>
            </w:pPr>
            <w:r>
              <w:rPr>
                <w:b/>
                <w:bCs/>
                <w:sz w:val="22"/>
                <w:szCs w:val="22"/>
              </w:rPr>
              <w:t>670</w:t>
            </w:r>
          </w:p>
        </w:tc>
        <w:tc>
          <w:tcPr>
            <w:tcW w:w="1350" w:type="dxa"/>
            <w:gridSpan w:val="2"/>
            <w:tcBorders>
              <w:top w:val="double" w:sz="4" w:space="0" w:color="auto"/>
              <w:left w:val="double" w:sz="4" w:space="0" w:color="auto"/>
              <w:right w:val="double" w:sz="4" w:space="0" w:color="auto"/>
            </w:tcBorders>
            <w:vAlign w:val="center"/>
          </w:tcPr>
          <w:p w14:paraId="58BB7104" w14:textId="6256DB83" w:rsidR="006033F4" w:rsidRPr="000E01F7" w:rsidRDefault="00395DAD" w:rsidP="00263DF0">
            <w:pPr>
              <w:pStyle w:val="Default"/>
              <w:jc w:val="right"/>
              <w:rPr>
                <w:sz w:val="22"/>
                <w:szCs w:val="22"/>
              </w:rPr>
            </w:pPr>
            <w:r w:rsidRPr="000E01F7">
              <w:rPr>
                <w:sz w:val="22"/>
                <w:szCs w:val="22"/>
              </w:rPr>
              <w:t>106 %</w:t>
            </w:r>
          </w:p>
        </w:tc>
      </w:tr>
      <w:tr w:rsidR="006033F4" w14:paraId="45E736A2" w14:textId="29EB8B02" w:rsidTr="001E601A">
        <w:trPr>
          <w:trHeight w:val="340"/>
        </w:trPr>
        <w:tc>
          <w:tcPr>
            <w:tcW w:w="3222" w:type="dxa"/>
            <w:tcBorders>
              <w:left w:val="double" w:sz="4" w:space="0" w:color="auto"/>
              <w:right w:val="double" w:sz="4" w:space="0" w:color="auto"/>
            </w:tcBorders>
            <w:vAlign w:val="center"/>
          </w:tcPr>
          <w:p w14:paraId="278DE1C6" w14:textId="77777777" w:rsidR="006033F4" w:rsidRDefault="006033F4" w:rsidP="00263DF0">
            <w:pPr>
              <w:pStyle w:val="Default"/>
              <w:rPr>
                <w:sz w:val="22"/>
                <w:szCs w:val="22"/>
              </w:rPr>
            </w:pPr>
            <w:r>
              <w:rPr>
                <w:sz w:val="22"/>
                <w:szCs w:val="22"/>
              </w:rPr>
              <w:t xml:space="preserve">úspěšně dokončené projekty </w:t>
            </w:r>
          </w:p>
          <w:p w14:paraId="70A4E841" w14:textId="5C23F066" w:rsidR="006033F4" w:rsidRDefault="006033F4" w:rsidP="00263DF0">
            <w:pPr>
              <w:pStyle w:val="Default"/>
              <w:rPr>
                <w:sz w:val="22"/>
                <w:szCs w:val="22"/>
              </w:rPr>
            </w:pPr>
            <w:r>
              <w:rPr>
                <w:sz w:val="22"/>
                <w:szCs w:val="22"/>
              </w:rPr>
              <w:t>(% z</w:t>
            </w:r>
            <w:r w:rsidR="00CE7C79">
              <w:rPr>
                <w:sz w:val="22"/>
                <w:szCs w:val="22"/>
              </w:rPr>
              <w:t> </w:t>
            </w:r>
            <w:r>
              <w:rPr>
                <w:sz w:val="22"/>
                <w:szCs w:val="22"/>
              </w:rPr>
              <w:t xml:space="preserve">podpořených) </w:t>
            </w:r>
          </w:p>
        </w:tc>
        <w:tc>
          <w:tcPr>
            <w:tcW w:w="699" w:type="dxa"/>
            <w:tcBorders>
              <w:left w:val="double" w:sz="4" w:space="0" w:color="auto"/>
            </w:tcBorders>
            <w:vAlign w:val="center"/>
          </w:tcPr>
          <w:p w14:paraId="016EEC1F" w14:textId="77777777" w:rsidR="006033F4" w:rsidRDefault="006033F4" w:rsidP="00263DF0">
            <w:pPr>
              <w:pStyle w:val="Default"/>
              <w:jc w:val="right"/>
              <w:rPr>
                <w:sz w:val="22"/>
                <w:szCs w:val="22"/>
              </w:rPr>
            </w:pPr>
            <w:r>
              <w:rPr>
                <w:sz w:val="22"/>
                <w:szCs w:val="22"/>
              </w:rPr>
              <w:t xml:space="preserve">90 % </w:t>
            </w:r>
          </w:p>
        </w:tc>
        <w:tc>
          <w:tcPr>
            <w:tcW w:w="708" w:type="dxa"/>
            <w:vAlign w:val="center"/>
          </w:tcPr>
          <w:p w14:paraId="176500F6" w14:textId="77777777" w:rsidR="006033F4" w:rsidRDefault="006033F4" w:rsidP="00263DF0">
            <w:pPr>
              <w:pStyle w:val="Default"/>
              <w:jc w:val="right"/>
              <w:rPr>
                <w:sz w:val="22"/>
                <w:szCs w:val="22"/>
              </w:rPr>
            </w:pPr>
            <w:r>
              <w:rPr>
                <w:sz w:val="22"/>
                <w:szCs w:val="22"/>
              </w:rPr>
              <w:t xml:space="preserve">80 % </w:t>
            </w:r>
          </w:p>
        </w:tc>
        <w:tc>
          <w:tcPr>
            <w:tcW w:w="965" w:type="dxa"/>
            <w:tcBorders>
              <w:right w:val="double" w:sz="4" w:space="0" w:color="auto"/>
            </w:tcBorders>
            <w:vAlign w:val="center"/>
          </w:tcPr>
          <w:p w14:paraId="18E28A7A" w14:textId="77777777" w:rsidR="006033F4" w:rsidRDefault="006033F4" w:rsidP="00263DF0">
            <w:pPr>
              <w:pStyle w:val="Default"/>
              <w:jc w:val="right"/>
              <w:rPr>
                <w:sz w:val="22"/>
                <w:szCs w:val="22"/>
              </w:rPr>
            </w:pPr>
            <w:r>
              <w:rPr>
                <w:b/>
                <w:bCs/>
                <w:sz w:val="22"/>
                <w:szCs w:val="22"/>
              </w:rPr>
              <w:t xml:space="preserve">89 % </w:t>
            </w:r>
          </w:p>
        </w:tc>
        <w:tc>
          <w:tcPr>
            <w:tcW w:w="913" w:type="dxa"/>
            <w:gridSpan w:val="2"/>
            <w:tcBorders>
              <w:left w:val="double" w:sz="4" w:space="0" w:color="auto"/>
            </w:tcBorders>
            <w:vAlign w:val="center"/>
          </w:tcPr>
          <w:p w14:paraId="0510275F" w14:textId="36EB1B76" w:rsidR="006033F4" w:rsidRPr="00DF597A" w:rsidRDefault="00DF597A" w:rsidP="00263DF0">
            <w:pPr>
              <w:pStyle w:val="Default"/>
              <w:jc w:val="right"/>
              <w:rPr>
                <w:bCs/>
                <w:sz w:val="22"/>
                <w:szCs w:val="22"/>
              </w:rPr>
            </w:pPr>
            <w:r w:rsidRPr="00DF597A">
              <w:rPr>
                <w:bCs/>
                <w:sz w:val="22"/>
                <w:szCs w:val="22"/>
              </w:rPr>
              <w:t>NR</w:t>
            </w:r>
          </w:p>
        </w:tc>
        <w:tc>
          <w:tcPr>
            <w:tcW w:w="937" w:type="dxa"/>
            <w:vAlign w:val="center"/>
          </w:tcPr>
          <w:p w14:paraId="6E875BDE" w14:textId="00110650" w:rsidR="006033F4" w:rsidRPr="00DF597A" w:rsidRDefault="00DF597A" w:rsidP="00263DF0">
            <w:pPr>
              <w:pStyle w:val="Default"/>
              <w:jc w:val="right"/>
              <w:rPr>
                <w:bCs/>
                <w:sz w:val="22"/>
                <w:szCs w:val="22"/>
              </w:rPr>
            </w:pPr>
            <w:r w:rsidRPr="00DF597A">
              <w:rPr>
                <w:bCs/>
                <w:sz w:val="22"/>
                <w:szCs w:val="22"/>
              </w:rPr>
              <w:t>NR</w:t>
            </w:r>
          </w:p>
        </w:tc>
        <w:tc>
          <w:tcPr>
            <w:tcW w:w="938" w:type="dxa"/>
            <w:tcBorders>
              <w:right w:val="double" w:sz="4" w:space="0" w:color="auto"/>
            </w:tcBorders>
            <w:vAlign w:val="center"/>
          </w:tcPr>
          <w:p w14:paraId="3EA729BF" w14:textId="07697A15" w:rsidR="006033F4" w:rsidRDefault="00DF597A" w:rsidP="00263DF0">
            <w:pPr>
              <w:pStyle w:val="Default"/>
              <w:jc w:val="right"/>
              <w:rPr>
                <w:b/>
                <w:bCs/>
                <w:sz w:val="22"/>
                <w:szCs w:val="22"/>
              </w:rPr>
            </w:pPr>
            <w:r>
              <w:rPr>
                <w:b/>
                <w:bCs/>
                <w:sz w:val="22"/>
                <w:szCs w:val="22"/>
              </w:rPr>
              <w:t>NR</w:t>
            </w:r>
          </w:p>
        </w:tc>
        <w:tc>
          <w:tcPr>
            <w:tcW w:w="1350" w:type="dxa"/>
            <w:gridSpan w:val="2"/>
            <w:tcBorders>
              <w:left w:val="double" w:sz="4" w:space="0" w:color="auto"/>
              <w:right w:val="double" w:sz="4" w:space="0" w:color="auto"/>
            </w:tcBorders>
            <w:vAlign w:val="center"/>
          </w:tcPr>
          <w:p w14:paraId="4C409C6D" w14:textId="096DFFED" w:rsidR="006033F4" w:rsidRPr="000E01F7" w:rsidRDefault="00DF597A" w:rsidP="00263DF0">
            <w:pPr>
              <w:pStyle w:val="Default"/>
              <w:jc w:val="right"/>
              <w:rPr>
                <w:sz w:val="22"/>
                <w:szCs w:val="22"/>
              </w:rPr>
            </w:pPr>
            <w:r w:rsidRPr="000E01F7">
              <w:rPr>
                <w:sz w:val="22"/>
                <w:szCs w:val="22"/>
              </w:rPr>
              <w:t>NR</w:t>
            </w:r>
          </w:p>
        </w:tc>
      </w:tr>
      <w:tr w:rsidR="006033F4" w14:paraId="59A1D63F" w14:textId="65BDCD20" w:rsidTr="001E601A">
        <w:trPr>
          <w:trHeight w:val="340"/>
        </w:trPr>
        <w:tc>
          <w:tcPr>
            <w:tcW w:w="3222" w:type="dxa"/>
            <w:tcBorders>
              <w:left w:val="double" w:sz="4" w:space="0" w:color="auto"/>
              <w:right w:val="double" w:sz="4" w:space="0" w:color="auto"/>
            </w:tcBorders>
            <w:vAlign w:val="center"/>
          </w:tcPr>
          <w:p w14:paraId="5227D1E9" w14:textId="77777777" w:rsidR="006033F4" w:rsidRDefault="006033F4" w:rsidP="00263DF0">
            <w:pPr>
              <w:pStyle w:val="Default"/>
              <w:rPr>
                <w:sz w:val="22"/>
                <w:szCs w:val="22"/>
              </w:rPr>
            </w:pPr>
            <w:r>
              <w:rPr>
                <w:sz w:val="22"/>
                <w:szCs w:val="22"/>
              </w:rPr>
              <w:t xml:space="preserve">příjemci podpory – malé podniky (počet účastí) </w:t>
            </w:r>
          </w:p>
        </w:tc>
        <w:tc>
          <w:tcPr>
            <w:tcW w:w="699" w:type="dxa"/>
            <w:tcBorders>
              <w:left w:val="double" w:sz="4" w:space="0" w:color="auto"/>
            </w:tcBorders>
            <w:vAlign w:val="center"/>
          </w:tcPr>
          <w:p w14:paraId="5CACACC3" w14:textId="77777777" w:rsidR="006033F4" w:rsidRDefault="006033F4" w:rsidP="00263DF0">
            <w:pPr>
              <w:pStyle w:val="Default"/>
              <w:jc w:val="right"/>
              <w:rPr>
                <w:sz w:val="22"/>
                <w:szCs w:val="22"/>
              </w:rPr>
            </w:pPr>
            <w:r>
              <w:rPr>
                <w:sz w:val="22"/>
                <w:szCs w:val="22"/>
              </w:rPr>
              <w:t xml:space="preserve">185 </w:t>
            </w:r>
          </w:p>
        </w:tc>
        <w:tc>
          <w:tcPr>
            <w:tcW w:w="708" w:type="dxa"/>
            <w:vAlign w:val="center"/>
          </w:tcPr>
          <w:p w14:paraId="676C9BDD" w14:textId="77777777" w:rsidR="006033F4" w:rsidRDefault="006033F4" w:rsidP="00263DF0">
            <w:pPr>
              <w:pStyle w:val="Default"/>
              <w:jc w:val="right"/>
              <w:rPr>
                <w:sz w:val="22"/>
                <w:szCs w:val="22"/>
              </w:rPr>
            </w:pPr>
            <w:r>
              <w:rPr>
                <w:sz w:val="22"/>
                <w:szCs w:val="22"/>
              </w:rPr>
              <w:t xml:space="preserve">25 </w:t>
            </w:r>
          </w:p>
        </w:tc>
        <w:tc>
          <w:tcPr>
            <w:tcW w:w="965" w:type="dxa"/>
            <w:tcBorders>
              <w:right w:val="double" w:sz="4" w:space="0" w:color="auto"/>
            </w:tcBorders>
            <w:vAlign w:val="center"/>
          </w:tcPr>
          <w:p w14:paraId="4CA4641F" w14:textId="77777777" w:rsidR="006033F4" w:rsidRDefault="006033F4" w:rsidP="00263DF0">
            <w:pPr>
              <w:pStyle w:val="Default"/>
              <w:jc w:val="right"/>
              <w:rPr>
                <w:sz w:val="22"/>
                <w:szCs w:val="22"/>
              </w:rPr>
            </w:pPr>
            <w:r>
              <w:rPr>
                <w:b/>
                <w:bCs/>
                <w:sz w:val="22"/>
                <w:szCs w:val="22"/>
              </w:rPr>
              <w:t xml:space="preserve">210 </w:t>
            </w:r>
          </w:p>
        </w:tc>
        <w:tc>
          <w:tcPr>
            <w:tcW w:w="913" w:type="dxa"/>
            <w:gridSpan w:val="2"/>
            <w:tcBorders>
              <w:left w:val="double" w:sz="4" w:space="0" w:color="auto"/>
            </w:tcBorders>
            <w:vAlign w:val="center"/>
          </w:tcPr>
          <w:p w14:paraId="75115502" w14:textId="7EBFA9E9" w:rsidR="006033F4" w:rsidRPr="00DF597A" w:rsidRDefault="00395DAD" w:rsidP="00263DF0">
            <w:pPr>
              <w:pStyle w:val="Default"/>
              <w:jc w:val="right"/>
              <w:rPr>
                <w:bCs/>
                <w:sz w:val="22"/>
                <w:szCs w:val="22"/>
              </w:rPr>
            </w:pPr>
            <w:r>
              <w:rPr>
                <w:bCs/>
                <w:sz w:val="22"/>
                <w:szCs w:val="22"/>
              </w:rPr>
              <w:t>252</w:t>
            </w:r>
          </w:p>
        </w:tc>
        <w:tc>
          <w:tcPr>
            <w:tcW w:w="937" w:type="dxa"/>
            <w:vAlign w:val="center"/>
          </w:tcPr>
          <w:p w14:paraId="74AF022F" w14:textId="3597724D" w:rsidR="006033F4" w:rsidRPr="00DF597A" w:rsidRDefault="00395DAD" w:rsidP="00263DF0">
            <w:pPr>
              <w:pStyle w:val="Default"/>
              <w:jc w:val="right"/>
              <w:rPr>
                <w:bCs/>
                <w:sz w:val="22"/>
                <w:szCs w:val="22"/>
              </w:rPr>
            </w:pPr>
            <w:r>
              <w:rPr>
                <w:bCs/>
                <w:sz w:val="22"/>
                <w:szCs w:val="22"/>
              </w:rPr>
              <w:t>75</w:t>
            </w:r>
          </w:p>
        </w:tc>
        <w:tc>
          <w:tcPr>
            <w:tcW w:w="938" w:type="dxa"/>
            <w:tcBorders>
              <w:right w:val="double" w:sz="4" w:space="0" w:color="auto"/>
            </w:tcBorders>
            <w:vAlign w:val="center"/>
          </w:tcPr>
          <w:p w14:paraId="500B867D" w14:textId="5B7F8C7B" w:rsidR="006033F4" w:rsidRDefault="00395DAD" w:rsidP="00263DF0">
            <w:pPr>
              <w:pStyle w:val="Default"/>
              <w:jc w:val="right"/>
              <w:rPr>
                <w:b/>
                <w:bCs/>
                <w:sz w:val="22"/>
                <w:szCs w:val="22"/>
              </w:rPr>
            </w:pPr>
            <w:r>
              <w:rPr>
                <w:b/>
                <w:bCs/>
                <w:sz w:val="22"/>
                <w:szCs w:val="22"/>
              </w:rPr>
              <w:t>327</w:t>
            </w:r>
          </w:p>
        </w:tc>
        <w:tc>
          <w:tcPr>
            <w:tcW w:w="1350" w:type="dxa"/>
            <w:gridSpan w:val="2"/>
            <w:tcBorders>
              <w:left w:val="double" w:sz="4" w:space="0" w:color="auto"/>
              <w:right w:val="double" w:sz="4" w:space="0" w:color="auto"/>
            </w:tcBorders>
            <w:vAlign w:val="center"/>
          </w:tcPr>
          <w:p w14:paraId="3D732210" w14:textId="4D729AEE" w:rsidR="006033F4" w:rsidRPr="000E01F7" w:rsidRDefault="007B7643" w:rsidP="00263DF0">
            <w:pPr>
              <w:pStyle w:val="Default"/>
              <w:jc w:val="right"/>
              <w:rPr>
                <w:sz w:val="22"/>
                <w:szCs w:val="22"/>
              </w:rPr>
            </w:pPr>
            <w:r w:rsidRPr="000E01F7">
              <w:rPr>
                <w:sz w:val="22"/>
                <w:szCs w:val="22"/>
              </w:rPr>
              <w:t>156 %</w:t>
            </w:r>
          </w:p>
        </w:tc>
      </w:tr>
      <w:tr w:rsidR="006033F4" w14:paraId="25A67626" w14:textId="04EE86B3" w:rsidTr="001E601A">
        <w:trPr>
          <w:trHeight w:val="340"/>
        </w:trPr>
        <w:tc>
          <w:tcPr>
            <w:tcW w:w="3222" w:type="dxa"/>
            <w:tcBorders>
              <w:left w:val="double" w:sz="4" w:space="0" w:color="auto"/>
              <w:right w:val="double" w:sz="4" w:space="0" w:color="auto"/>
            </w:tcBorders>
            <w:vAlign w:val="center"/>
          </w:tcPr>
          <w:p w14:paraId="30A518B0" w14:textId="77777777" w:rsidR="006033F4" w:rsidRDefault="006033F4" w:rsidP="00263DF0">
            <w:pPr>
              <w:pStyle w:val="Default"/>
              <w:rPr>
                <w:sz w:val="22"/>
                <w:szCs w:val="22"/>
              </w:rPr>
            </w:pPr>
            <w:r>
              <w:rPr>
                <w:sz w:val="22"/>
                <w:szCs w:val="22"/>
              </w:rPr>
              <w:t xml:space="preserve">příjemci podpory – střední podniky (počet účastí) </w:t>
            </w:r>
          </w:p>
        </w:tc>
        <w:tc>
          <w:tcPr>
            <w:tcW w:w="699" w:type="dxa"/>
            <w:tcBorders>
              <w:left w:val="double" w:sz="4" w:space="0" w:color="auto"/>
            </w:tcBorders>
            <w:vAlign w:val="center"/>
          </w:tcPr>
          <w:p w14:paraId="48B0DDB2" w14:textId="77777777" w:rsidR="006033F4" w:rsidRDefault="006033F4" w:rsidP="00263DF0">
            <w:pPr>
              <w:pStyle w:val="Default"/>
              <w:jc w:val="right"/>
              <w:rPr>
                <w:sz w:val="22"/>
                <w:szCs w:val="22"/>
              </w:rPr>
            </w:pPr>
            <w:r>
              <w:rPr>
                <w:sz w:val="22"/>
                <w:szCs w:val="22"/>
              </w:rPr>
              <w:t xml:space="preserve">175 </w:t>
            </w:r>
          </w:p>
        </w:tc>
        <w:tc>
          <w:tcPr>
            <w:tcW w:w="708" w:type="dxa"/>
            <w:vAlign w:val="center"/>
          </w:tcPr>
          <w:p w14:paraId="4435D3A0" w14:textId="77777777" w:rsidR="006033F4" w:rsidRDefault="006033F4" w:rsidP="00263DF0">
            <w:pPr>
              <w:pStyle w:val="Default"/>
              <w:jc w:val="right"/>
              <w:rPr>
                <w:sz w:val="22"/>
                <w:szCs w:val="22"/>
              </w:rPr>
            </w:pPr>
            <w:r>
              <w:rPr>
                <w:sz w:val="22"/>
                <w:szCs w:val="22"/>
              </w:rPr>
              <w:t xml:space="preserve">20 </w:t>
            </w:r>
          </w:p>
        </w:tc>
        <w:tc>
          <w:tcPr>
            <w:tcW w:w="965" w:type="dxa"/>
            <w:tcBorders>
              <w:right w:val="double" w:sz="4" w:space="0" w:color="auto"/>
            </w:tcBorders>
            <w:vAlign w:val="center"/>
          </w:tcPr>
          <w:p w14:paraId="6004726C" w14:textId="77777777" w:rsidR="006033F4" w:rsidRDefault="006033F4" w:rsidP="00263DF0">
            <w:pPr>
              <w:pStyle w:val="Default"/>
              <w:jc w:val="right"/>
              <w:rPr>
                <w:sz w:val="22"/>
                <w:szCs w:val="22"/>
              </w:rPr>
            </w:pPr>
            <w:r>
              <w:rPr>
                <w:b/>
                <w:bCs/>
                <w:sz w:val="22"/>
                <w:szCs w:val="22"/>
              </w:rPr>
              <w:t xml:space="preserve">195 </w:t>
            </w:r>
          </w:p>
        </w:tc>
        <w:tc>
          <w:tcPr>
            <w:tcW w:w="913" w:type="dxa"/>
            <w:gridSpan w:val="2"/>
            <w:tcBorders>
              <w:left w:val="double" w:sz="4" w:space="0" w:color="auto"/>
            </w:tcBorders>
            <w:vAlign w:val="center"/>
          </w:tcPr>
          <w:p w14:paraId="073CF125" w14:textId="7F857FD0" w:rsidR="006033F4" w:rsidRPr="00DF597A" w:rsidRDefault="00395DAD" w:rsidP="00263DF0">
            <w:pPr>
              <w:pStyle w:val="Default"/>
              <w:jc w:val="right"/>
              <w:rPr>
                <w:bCs/>
                <w:sz w:val="22"/>
                <w:szCs w:val="22"/>
              </w:rPr>
            </w:pPr>
            <w:r>
              <w:rPr>
                <w:bCs/>
                <w:sz w:val="22"/>
                <w:szCs w:val="22"/>
              </w:rPr>
              <w:t>156</w:t>
            </w:r>
          </w:p>
        </w:tc>
        <w:tc>
          <w:tcPr>
            <w:tcW w:w="937" w:type="dxa"/>
            <w:vAlign w:val="center"/>
          </w:tcPr>
          <w:p w14:paraId="388B41A5" w14:textId="3F8550DD" w:rsidR="006033F4" w:rsidRPr="00DF597A" w:rsidRDefault="00395DAD" w:rsidP="00263DF0">
            <w:pPr>
              <w:pStyle w:val="Default"/>
              <w:jc w:val="right"/>
              <w:rPr>
                <w:bCs/>
                <w:sz w:val="22"/>
                <w:szCs w:val="22"/>
              </w:rPr>
            </w:pPr>
            <w:r>
              <w:rPr>
                <w:bCs/>
                <w:sz w:val="22"/>
                <w:szCs w:val="22"/>
              </w:rPr>
              <w:t>5</w:t>
            </w:r>
          </w:p>
        </w:tc>
        <w:tc>
          <w:tcPr>
            <w:tcW w:w="938" w:type="dxa"/>
            <w:tcBorders>
              <w:right w:val="double" w:sz="4" w:space="0" w:color="auto"/>
            </w:tcBorders>
            <w:vAlign w:val="center"/>
          </w:tcPr>
          <w:p w14:paraId="78E75418" w14:textId="373E5818" w:rsidR="006033F4" w:rsidRDefault="007B7643" w:rsidP="00263DF0">
            <w:pPr>
              <w:pStyle w:val="Default"/>
              <w:jc w:val="right"/>
              <w:rPr>
                <w:b/>
                <w:bCs/>
                <w:sz w:val="22"/>
                <w:szCs w:val="22"/>
              </w:rPr>
            </w:pPr>
            <w:r>
              <w:rPr>
                <w:b/>
                <w:bCs/>
                <w:sz w:val="22"/>
                <w:szCs w:val="22"/>
              </w:rPr>
              <w:t>161</w:t>
            </w:r>
          </w:p>
        </w:tc>
        <w:tc>
          <w:tcPr>
            <w:tcW w:w="1350" w:type="dxa"/>
            <w:gridSpan w:val="2"/>
            <w:tcBorders>
              <w:left w:val="double" w:sz="4" w:space="0" w:color="auto"/>
              <w:right w:val="double" w:sz="4" w:space="0" w:color="auto"/>
            </w:tcBorders>
            <w:vAlign w:val="center"/>
          </w:tcPr>
          <w:p w14:paraId="4DB22E0F" w14:textId="079073F5" w:rsidR="006033F4" w:rsidRPr="000E01F7" w:rsidRDefault="007B7643" w:rsidP="00263DF0">
            <w:pPr>
              <w:pStyle w:val="Default"/>
              <w:jc w:val="right"/>
              <w:rPr>
                <w:sz w:val="22"/>
                <w:szCs w:val="22"/>
              </w:rPr>
            </w:pPr>
            <w:r w:rsidRPr="000E01F7">
              <w:rPr>
                <w:sz w:val="22"/>
                <w:szCs w:val="22"/>
              </w:rPr>
              <w:t>83 %</w:t>
            </w:r>
          </w:p>
        </w:tc>
      </w:tr>
      <w:tr w:rsidR="006033F4" w14:paraId="73CDFC89" w14:textId="479DD5A8" w:rsidTr="001E601A">
        <w:trPr>
          <w:trHeight w:val="340"/>
        </w:trPr>
        <w:tc>
          <w:tcPr>
            <w:tcW w:w="3222" w:type="dxa"/>
            <w:tcBorders>
              <w:left w:val="double" w:sz="4" w:space="0" w:color="auto"/>
              <w:right w:val="double" w:sz="4" w:space="0" w:color="auto"/>
            </w:tcBorders>
            <w:vAlign w:val="center"/>
          </w:tcPr>
          <w:p w14:paraId="7E0F4C45" w14:textId="77777777" w:rsidR="006033F4" w:rsidRDefault="006033F4" w:rsidP="00263DF0">
            <w:pPr>
              <w:pStyle w:val="Default"/>
              <w:rPr>
                <w:sz w:val="22"/>
                <w:szCs w:val="22"/>
              </w:rPr>
            </w:pPr>
            <w:r>
              <w:rPr>
                <w:sz w:val="22"/>
                <w:szCs w:val="22"/>
              </w:rPr>
              <w:t xml:space="preserve">příjemci podpory – velké podniky (počet účastí) </w:t>
            </w:r>
          </w:p>
        </w:tc>
        <w:tc>
          <w:tcPr>
            <w:tcW w:w="699" w:type="dxa"/>
            <w:tcBorders>
              <w:left w:val="double" w:sz="4" w:space="0" w:color="auto"/>
            </w:tcBorders>
            <w:vAlign w:val="center"/>
          </w:tcPr>
          <w:p w14:paraId="2BEDE350" w14:textId="77777777" w:rsidR="006033F4" w:rsidRDefault="006033F4" w:rsidP="00263DF0">
            <w:pPr>
              <w:pStyle w:val="Default"/>
              <w:jc w:val="right"/>
              <w:rPr>
                <w:sz w:val="22"/>
                <w:szCs w:val="22"/>
              </w:rPr>
            </w:pPr>
            <w:r>
              <w:rPr>
                <w:sz w:val="22"/>
                <w:szCs w:val="22"/>
              </w:rPr>
              <w:t xml:space="preserve">220 </w:t>
            </w:r>
          </w:p>
        </w:tc>
        <w:tc>
          <w:tcPr>
            <w:tcW w:w="708" w:type="dxa"/>
            <w:vAlign w:val="center"/>
          </w:tcPr>
          <w:p w14:paraId="60362B6F" w14:textId="77777777" w:rsidR="006033F4" w:rsidRDefault="006033F4" w:rsidP="00263DF0">
            <w:pPr>
              <w:pStyle w:val="Default"/>
              <w:jc w:val="right"/>
              <w:rPr>
                <w:sz w:val="22"/>
                <w:szCs w:val="22"/>
              </w:rPr>
            </w:pPr>
            <w:r>
              <w:rPr>
                <w:sz w:val="22"/>
                <w:szCs w:val="22"/>
              </w:rPr>
              <w:t xml:space="preserve">5 </w:t>
            </w:r>
          </w:p>
        </w:tc>
        <w:tc>
          <w:tcPr>
            <w:tcW w:w="965" w:type="dxa"/>
            <w:tcBorders>
              <w:right w:val="double" w:sz="4" w:space="0" w:color="auto"/>
            </w:tcBorders>
            <w:vAlign w:val="center"/>
          </w:tcPr>
          <w:p w14:paraId="192D2415" w14:textId="77777777" w:rsidR="006033F4" w:rsidRDefault="006033F4" w:rsidP="00263DF0">
            <w:pPr>
              <w:pStyle w:val="Default"/>
              <w:jc w:val="right"/>
              <w:rPr>
                <w:sz w:val="22"/>
                <w:szCs w:val="22"/>
              </w:rPr>
            </w:pPr>
            <w:r>
              <w:rPr>
                <w:b/>
                <w:bCs/>
                <w:sz w:val="22"/>
                <w:szCs w:val="22"/>
              </w:rPr>
              <w:t xml:space="preserve">225 </w:t>
            </w:r>
          </w:p>
        </w:tc>
        <w:tc>
          <w:tcPr>
            <w:tcW w:w="913" w:type="dxa"/>
            <w:gridSpan w:val="2"/>
            <w:tcBorders>
              <w:left w:val="double" w:sz="4" w:space="0" w:color="auto"/>
            </w:tcBorders>
            <w:vAlign w:val="center"/>
          </w:tcPr>
          <w:p w14:paraId="23EFCF58" w14:textId="5EAE5F3D" w:rsidR="006033F4" w:rsidRPr="00DF597A" w:rsidRDefault="007B7643" w:rsidP="00263DF0">
            <w:pPr>
              <w:pStyle w:val="Default"/>
              <w:jc w:val="right"/>
              <w:rPr>
                <w:bCs/>
                <w:sz w:val="22"/>
                <w:szCs w:val="22"/>
              </w:rPr>
            </w:pPr>
            <w:r>
              <w:rPr>
                <w:bCs/>
                <w:sz w:val="22"/>
                <w:szCs w:val="22"/>
              </w:rPr>
              <w:t>181</w:t>
            </w:r>
          </w:p>
        </w:tc>
        <w:tc>
          <w:tcPr>
            <w:tcW w:w="937" w:type="dxa"/>
            <w:vAlign w:val="center"/>
          </w:tcPr>
          <w:p w14:paraId="3DD6C743" w14:textId="62888DE3" w:rsidR="006033F4" w:rsidRPr="00DF597A" w:rsidRDefault="007B7643" w:rsidP="00263DF0">
            <w:pPr>
              <w:pStyle w:val="Default"/>
              <w:jc w:val="right"/>
              <w:rPr>
                <w:bCs/>
                <w:sz w:val="22"/>
                <w:szCs w:val="22"/>
              </w:rPr>
            </w:pPr>
            <w:r>
              <w:rPr>
                <w:bCs/>
                <w:sz w:val="22"/>
                <w:szCs w:val="22"/>
              </w:rPr>
              <w:t>1</w:t>
            </w:r>
          </w:p>
        </w:tc>
        <w:tc>
          <w:tcPr>
            <w:tcW w:w="938" w:type="dxa"/>
            <w:tcBorders>
              <w:right w:val="double" w:sz="4" w:space="0" w:color="auto"/>
            </w:tcBorders>
            <w:vAlign w:val="center"/>
          </w:tcPr>
          <w:p w14:paraId="47F6AC4B" w14:textId="71E5A379" w:rsidR="006033F4" w:rsidRDefault="007B7643" w:rsidP="00263DF0">
            <w:pPr>
              <w:pStyle w:val="Default"/>
              <w:jc w:val="right"/>
              <w:rPr>
                <w:b/>
                <w:bCs/>
                <w:sz w:val="22"/>
                <w:szCs w:val="22"/>
              </w:rPr>
            </w:pPr>
            <w:r>
              <w:rPr>
                <w:b/>
                <w:bCs/>
                <w:sz w:val="22"/>
                <w:szCs w:val="22"/>
              </w:rPr>
              <w:t>182</w:t>
            </w:r>
          </w:p>
        </w:tc>
        <w:tc>
          <w:tcPr>
            <w:tcW w:w="1350" w:type="dxa"/>
            <w:gridSpan w:val="2"/>
            <w:tcBorders>
              <w:left w:val="double" w:sz="4" w:space="0" w:color="auto"/>
              <w:right w:val="double" w:sz="4" w:space="0" w:color="auto"/>
            </w:tcBorders>
            <w:vAlign w:val="center"/>
          </w:tcPr>
          <w:p w14:paraId="0D1A7091" w14:textId="597475EF" w:rsidR="006033F4" w:rsidRPr="000E01F7" w:rsidRDefault="007B7643" w:rsidP="00263DF0">
            <w:pPr>
              <w:pStyle w:val="Default"/>
              <w:jc w:val="right"/>
              <w:rPr>
                <w:sz w:val="22"/>
                <w:szCs w:val="22"/>
              </w:rPr>
            </w:pPr>
            <w:r w:rsidRPr="000E01F7">
              <w:rPr>
                <w:sz w:val="22"/>
                <w:szCs w:val="22"/>
              </w:rPr>
              <w:t>81 %</w:t>
            </w:r>
          </w:p>
        </w:tc>
      </w:tr>
      <w:tr w:rsidR="006033F4" w14:paraId="12C9E179" w14:textId="4A5D18AE" w:rsidTr="001E601A">
        <w:trPr>
          <w:trHeight w:val="340"/>
        </w:trPr>
        <w:tc>
          <w:tcPr>
            <w:tcW w:w="3222" w:type="dxa"/>
            <w:tcBorders>
              <w:left w:val="double" w:sz="4" w:space="0" w:color="auto"/>
              <w:right w:val="double" w:sz="4" w:space="0" w:color="auto"/>
            </w:tcBorders>
            <w:vAlign w:val="center"/>
          </w:tcPr>
          <w:p w14:paraId="405E1BD7" w14:textId="77777777" w:rsidR="006033F4" w:rsidRDefault="006033F4" w:rsidP="00263DF0">
            <w:pPr>
              <w:pStyle w:val="Default"/>
              <w:rPr>
                <w:sz w:val="22"/>
                <w:szCs w:val="22"/>
              </w:rPr>
            </w:pPr>
            <w:r>
              <w:rPr>
                <w:sz w:val="22"/>
                <w:szCs w:val="22"/>
              </w:rPr>
              <w:t xml:space="preserve">příjemci podpory – „nováčci“ (počet účastí) </w:t>
            </w:r>
          </w:p>
        </w:tc>
        <w:tc>
          <w:tcPr>
            <w:tcW w:w="699" w:type="dxa"/>
            <w:tcBorders>
              <w:left w:val="double" w:sz="4" w:space="0" w:color="auto"/>
            </w:tcBorders>
            <w:vAlign w:val="center"/>
          </w:tcPr>
          <w:p w14:paraId="755EDB8C" w14:textId="77777777" w:rsidR="006033F4" w:rsidRDefault="006033F4" w:rsidP="00263DF0">
            <w:pPr>
              <w:pStyle w:val="Default"/>
              <w:jc w:val="right"/>
              <w:rPr>
                <w:sz w:val="22"/>
                <w:szCs w:val="22"/>
              </w:rPr>
            </w:pPr>
            <w:r>
              <w:rPr>
                <w:sz w:val="22"/>
                <w:szCs w:val="22"/>
              </w:rPr>
              <w:t xml:space="preserve">0 </w:t>
            </w:r>
          </w:p>
        </w:tc>
        <w:tc>
          <w:tcPr>
            <w:tcW w:w="708" w:type="dxa"/>
            <w:vAlign w:val="center"/>
          </w:tcPr>
          <w:p w14:paraId="53197EE6" w14:textId="77777777" w:rsidR="006033F4" w:rsidRDefault="006033F4" w:rsidP="00263DF0">
            <w:pPr>
              <w:pStyle w:val="Default"/>
              <w:jc w:val="right"/>
              <w:rPr>
                <w:sz w:val="22"/>
                <w:szCs w:val="22"/>
              </w:rPr>
            </w:pPr>
            <w:r>
              <w:rPr>
                <w:sz w:val="22"/>
                <w:szCs w:val="22"/>
              </w:rPr>
              <w:t xml:space="preserve">50 </w:t>
            </w:r>
          </w:p>
        </w:tc>
        <w:tc>
          <w:tcPr>
            <w:tcW w:w="965" w:type="dxa"/>
            <w:tcBorders>
              <w:right w:val="double" w:sz="4" w:space="0" w:color="auto"/>
            </w:tcBorders>
            <w:vAlign w:val="center"/>
          </w:tcPr>
          <w:p w14:paraId="14260CE8" w14:textId="77777777" w:rsidR="006033F4" w:rsidRDefault="006033F4" w:rsidP="00263DF0">
            <w:pPr>
              <w:pStyle w:val="Default"/>
              <w:jc w:val="right"/>
              <w:rPr>
                <w:sz w:val="22"/>
                <w:szCs w:val="22"/>
              </w:rPr>
            </w:pPr>
            <w:r>
              <w:rPr>
                <w:b/>
                <w:bCs/>
                <w:sz w:val="22"/>
                <w:szCs w:val="22"/>
              </w:rPr>
              <w:t xml:space="preserve">50 </w:t>
            </w:r>
          </w:p>
        </w:tc>
        <w:tc>
          <w:tcPr>
            <w:tcW w:w="913" w:type="dxa"/>
            <w:gridSpan w:val="2"/>
            <w:tcBorders>
              <w:left w:val="double" w:sz="4" w:space="0" w:color="auto"/>
            </w:tcBorders>
            <w:vAlign w:val="center"/>
          </w:tcPr>
          <w:p w14:paraId="0208A5EC" w14:textId="7D610964" w:rsidR="006033F4" w:rsidRPr="00DF597A" w:rsidRDefault="007B7643" w:rsidP="00263DF0">
            <w:pPr>
              <w:pStyle w:val="Default"/>
              <w:jc w:val="right"/>
              <w:rPr>
                <w:bCs/>
                <w:sz w:val="22"/>
                <w:szCs w:val="22"/>
              </w:rPr>
            </w:pPr>
            <w:r>
              <w:rPr>
                <w:bCs/>
                <w:sz w:val="22"/>
                <w:szCs w:val="22"/>
              </w:rPr>
              <w:t>0</w:t>
            </w:r>
          </w:p>
        </w:tc>
        <w:tc>
          <w:tcPr>
            <w:tcW w:w="937" w:type="dxa"/>
            <w:vAlign w:val="center"/>
          </w:tcPr>
          <w:p w14:paraId="6E3D1B3A" w14:textId="36768F37" w:rsidR="006033F4" w:rsidRPr="00DF597A" w:rsidRDefault="007B7643" w:rsidP="00263DF0">
            <w:pPr>
              <w:pStyle w:val="Default"/>
              <w:jc w:val="right"/>
              <w:rPr>
                <w:bCs/>
                <w:sz w:val="22"/>
                <w:szCs w:val="22"/>
              </w:rPr>
            </w:pPr>
            <w:r>
              <w:rPr>
                <w:bCs/>
                <w:sz w:val="22"/>
                <w:szCs w:val="22"/>
              </w:rPr>
              <w:t>81</w:t>
            </w:r>
          </w:p>
        </w:tc>
        <w:tc>
          <w:tcPr>
            <w:tcW w:w="938" w:type="dxa"/>
            <w:tcBorders>
              <w:right w:val="double" w:sz="4" w:space="0" w:color="auto"/>
            </w:tcBorders>
            <w:vAlign w:val="center"/>
          </w:tcPr>
          <w:p w14:paraId="78A9DBBD" w14:textId="697739E8" w:rsidR="006033F4" w:rsidRDefault="007B7643" w:rsidP="00263DF0">
            <w:pPr>
              <w:pStyle w:val="Default"/>
              <w:jc w:val="right"/>
              <w:rPr>
                <w:b/>
                <w:bCs/>
                <w:sz w:val="22"/>
                <w:szCs w:val="22"/>
              </w:rPr>
            </w:pPr>
            <w:r>
              <w:rPr>
                <w:b/>
                <w:bCs/>
                <w:sz w:val="22"/>
                <w:szCs w:val="22"/>
              </w:rPr>
              <w:t>81</w:t>
            </w:r>
          </w:p>
        </w:tc>
        <w:tc>
          <w:tcPr>
            <w:tcW w:w="1350" w:type="dxa"/>
            <w:gridSpan w:val="2"/>
            <w:tcBorders>
              <w:left w:val="double" w:sz="4" w:space="0" w:color="auto"/>
              <w:right w:val="double" w:sz="4" w:space="0" w:color="auto"/>
            </w:tcBorders>
            <w:vAlign w:val="center"/>
          </w:tcPr>
          <w:p w14:paraId="7088B947" w14:textId="56794C00" w:rsidR="006033F4" w:rsidRPr="000E01F7" w:rsidRDefault="007B7643" w:rsidP="00263DF0">
            <w:pPr>
              <w:pStyle w:val="Default"/>
              <w:jc w:val="right"/>
              <w:rPr>
                <w:sz w:val="22"/>
                <w:szCs w:val="22"/>
              </w:rPr>
            </w:pPr>
            <w:r w:rsidRPr="000E01F7">
              <w:rPr>
                <w:sz w:val="22"/>
                <w:szCs w:val="22"/>
              </w:rPr>
              <w:t>162 %</w:t>
            </w:r>
          </w:p>
        </w:tc>
      </w:tr>
      <w:tr w:rsidR="006033F4" w14:paraId="6AAD4B7C" w14:textId="4838D27A" w:rsidTr="001E601A">
        <w:trPr>
          <w:trHeight w:val="340"/>
        </w:trPr>
        <w:tc>
          <w:tcPr>
            <w:tcW w:w="3222" w:type="dxa"/>
            <w:tcBorders>
              <w:left w:val="double" w:sz="4" w:space="0" w:color="auto"/>
              <w:right w:val="double" w:sz="4" w:space="0" w:color="auto"/>
            </w:tcBorders>
            <w:vAlign w:val="center"/>
          </w:tcPr>
          <w:p w14:paraId="65DB937B" w14:textId="77777777" w:rsidR="006033F4" w:rsidRDefault="006033F4" w:rsidP="00263DF0">
            <w:pPr>
              <w:pStyle w:val="Default"/>
              <w:rPr>
                <w:sz w:val="22"/>
                <w:szCs w:val="22"/>
              </w:rPr>
            </w:pPr>
            <w:r>
              <w:rPr>
                <w:sz w:val="22"/>
                <w:szCs w:val="22"/>
              </w:rPr>
              <w:t xml:space="preserve">další účastníci projektu – VO (počet účastí) </w:t>
            </w:r>
          </w:p>
        </w:tc>
        <w:tc>
          <w:tcPr>
            <w:tcW w:w="699" w:type="dxa"/>
            <w:tcBorders>
              <w:left w:val="double" w:sz="4" w:space="0" w:color="auto"/>
            </w:tcBorders>
            <w:vAlign w:val="center"/>
          </w:tcPr>
          <w:p w14:paraId="33B5BC30" w14:textId="77777777" w:rsidR="006033F4" w:rsidRDefault="006033F4" w:rsidP="00263DF0">
            <w:pPr>
              <w:pStyle w:val="Default"/>
              <w:jc w:val="right"/>
              <w:rPr>
                <w:sz w:val="22"/>
                <w:szCs w:val="22"/>
              </w:rPr>
            </w:pPr>
            <w:r>
              <w:rPr>
                <w:sz w:val="22"/>
                <w:szCs w:val="22"/>
              </w:rPr>
              <w:t xml:space="preserve">290 </w:t>
            </w:r>
          </w:p>
        </w:tc>
        <w:tc>
          <w:tcPr>
            <w:tcW w:w="708" w:type="dxa"/>
            <w:vAlign w:val="center"/>
          </w:tcPr>
          <w:p w14:paraId="5E01437E" w14:textId="77777777" w:rsidR="006033F4" w:rsidRDefault="006033F4" w:rsidP="00263DF0">
            <w:pPr>
              <w:pStyle w:val="Default"/>
              <w:jc w:val="right"/>
              <w:rPr>
                <w:sz w:val="22"/>
                <w:szCs w:val="22"/>
              </w:rPr>
            </w:pPr>
            <w:r>
              <w:rPr>
                <w:sz w:val="22"/>
                <w:szCs w:val="22"/>
              </w:rPr>
              <w:t xml:space="preserve">50 </w:t>
            </w:r>
          </w:p>
        </w:tc>
        <w:tc>
          <w:tcPr>
            <w:tcW w:w="965" w:type="dxa"/>
            <w:tcBorders>
              <w:right w:val="double" w:sz="4" w:space="0" w:color="auto"/>
            </w:tcBorders>
            <w:vAlign w:val="center"/>
          </w:tcPr>
          <w:p w14:paraId="7187329B" w14:textId="77777777" w:rsidR="006033F4" w:rsidRDefault="006033F4" w:rsidP="00263DF0">
            <w:pPr>
              <w:pStyle w:val="Default"/>
              <w:jc w:val="right"/>
              <w:rPr>
                <w:sz w:val="22"/>
                <w:szCs w:val="22"/>
              </w:rPr>
            </w:pPr>
            <w:r>
              <w:rPr>
                <w:b/>
                <w:bCs/>
                <w:sz w:val="22"/>
                <w:szCs w:val="22"/>
              </w:rPr>
              <w:t xml:space="preserve">340 </w:t>
            </w:r>
          </w:p>
        </w:tc>
        <w:tc>
          <w:tcPr>
            <w:tcW w:w="913" w:type="dxa"/>
            <w:gridSpan w:val="2"/>
            <w:tcBorders>
              <w:left w:val="double" w:sz="4" w:space="0" w:color="auto"/>
            </w:tcBorders>
            <w:vAlign w:val="center"/>
          </w:tcPr>
          <w:p w14:paraId="343E3CB2" w14:textId="49A6F6CC" w:rsidR="006033F4" w:rsidRPr="00DF597A" w:rsidRDefault="007B7643" w:rsidP="00263DF0">
            <w:pPr>
              <w:pStyle w:val="Default"/>
              <w:jc w:val="right"/>
              <w:rPr>
                <w:bCs/>
                <w:sz w:val="22"/>
                <w:szCs w:val="22"/>
              </w:rPr>
            </w:pPr>
            <w:r>
              <w:rPr>
                <w:bCs/>
                <w:sz w:val="22"/>
                <w:szCs w:val="22"/>
              </w:rPr>
              <w:t>658</w:t>
            </w:r>
          </w:p>
        </w:tc>
        <w:tc>
          <w:tcPr>
            <w:tcW w:w="937" w:type="dxa"/>
            <w:vAlign w:val="center"/>
          </w:tcPr>
          <w:p w14:paraId="7913DB97" w14:textId="7D32CD1A" w:rsidR="006033F4" w:rsidRPr="00DF597A" w:rsidRDefault="007B7643" w:rsidP="00263DF0">
            <w:pPr>
              <w:pStyle w:val="Default"/>
              <w:jc w:val="right"/>
              <w:rPr>
                <w:bCs/>
                <w:sz w:val="22"/>
                <w:szCs w:val="22"/>
              </w:rPr>
            </w:pPr>
            <w:r>
              <w:rPr>
                <w:bCs/>
                <w:sz w:val="22"/>
                <w:szCs w:val="22"/>
              </w:rPr>
              <w:t>95</w:t>
            </w:r>
          </w:p>
        </w:tc>
        <w:tc>
          <w:tcPr>
            <w:tcW w:w="938" w:type="dxa"/>
            <w:tcBorders>
              <w:right w:val="double" w:sz="4" w:space="0" w:color="auto"/>
            </w:tcBorders>
            <w:vAlign w:val="center"/>
          </w:tcPr>
          <w:p w14:paraId="21F8E92C" w14:textId="02A6BF75" w:rsidR="006033F4" w:rsidRDefault="007B7643" w:rsidP="00263DF0">
            <w:pPr>
              <w:pStyle w:val="Default"/>
              <w:jc w:val="right"/>
              <w:rPr>
                <w:b/>
                <w:bCs/>
                <w:sz w:val="22"/>
                <w:szCs w:val="22"/>
              </w:rPr>
            </w:pPr>
            <w:r>
              <w:rPr>
                <w:b/>
                <w:bCs/>
                <w:sz w:val="22"/>
                <w:szCs w:val="22"/>
              </w:rPr>
              <w:t>763</w:t>
            </w:r>
          </w:p>
        </w:tc>
        <w:tc>
          <w:tcPr>
            <w:tcW w:w="1350" w:type="dxa"/>
            <w:gridSpan w:val="2"/>
            <w:tcBorders>
              <w:left w:val="double" w:sz="4" w:space="0" w:color="auto"/>
              <w:right w:val="double" w:sz="4" w:space="0" w:color="auto"/>
            </w:tcBorders>
            <w:vAlign w:val="center"/>
          </w:tcPr>
          <w:p w14:paraId="46EF6B8F" w14:textId="1654CF95" w:rsidR="006033F4" w:rsidRPr="000E01F7" w:rsidRDefault="007B7643" w:rsidP="00263DF0">
            <w:pPr>
              <w:pStyle w:val="Default"/>
              <w:jc w:val="right"/>
              <w:rPr>
                <w:sz w:val="22"/>
                <w:szCs w:val="22"/>
              </w:rPr>
            </w:pPr>
            <w:r w:rsidRPr="000E01F7">
              <w:rPr>
                <w:sz w:val="22"/>
                <w:szCs w:val="22"/>
              </w:rPr>
              <w:t>224 %</w:t>
            </w:r>
          </w:p>
        </w:tc>
      </w:tr>
      <w:tr w:rsidR="007C3104" w14:paraId="1AF1C30D" w14:textId="69FE3399" w:rsidTr="001E601A">
        <w:trPr>
          <w:trHeight w:val="340"/>
        </w:trPr>
        <w:tc>
          <w:tcPr>
            <w:tcW w:w="3222" w:type="dxa"/>
            <w:tcBorders>
              <w:left w:val="double" w:sz="4" w:space="0" w:color="auto"/>
              <w:right w:val="double" w:sz="4" w:space="0" w:color="auto"/>
            </w:tcBorders>
            <w:vAlign w:val="center"/>
          </w:tcPr>
          <w:p w14:paraId="1535B289" w14:textId="77777777" w:rsidR="007C3104" w:rsidRDefault="007C3104" w:rsidP="007C3104">
            <w:pPr>
              <w:pStyle w:val="Default"/>
              <w:rPr>
                <w:sz w:val="22"/>
                <w:szCs w:val="22"/>
              </w:rPr>
            </w:pPr>
            <w:r>
              <w:rPr>
                <w:sz w:val="22"/>
                <w:szCs w:val="22"/>
              </w:rPr>
              <w:t>výsledky druhu N</w:t>
            </w:r>
            <w:r>
              <w:rPr>
                <w:sz w:val="14"/>
                <w:szCs w:val="14"/>
              </w:rPr>
              <w:t xml:space="preserve">met </w:t>
            </w:r>
            <w:r>
              <w:rPr>
                <w:sz w:val="22"/>
                <w:szCs w:val="22"/>
              </w:rPr>
              <w:t xml:space="preserve">(počet) </w:t>
            </w:r>
          </w:p>
        </w:tc>
        <w:tc>
          <w:tcPr>
            <w:tcW w:w="699" w:type="dxa"/>
            <w:tcBorders>
              <w:left w:val="double" w:sz="4" w:space="0" w:color="auto"/>
            </w:tcBorders>
            <w:vAlign w:val="center"/>
          </w:tcPr>
          <w:p w14:paraId="480EE71E" w14:textId="77777777" w:rsidR="007C3104" w:rsidRDefault="007C3104" w:rsidP="007C3104">
            <w:pPr>
              <w:pStyle w:val="Default"/>
              <w:jc w:val="right"/>
              <w:rPr>
                <w:sz w:val="22"/>
                <w:szCs w:val="22"/>
              </w:rPr>
            </w:pPr>
            <w:r>
              <w:rPr>
                <w:sz w:val="22"/>
                <w:szCs w:val="22"/>
              </w:rPr>
              <w:t xml:space="preserve">5 </w:t>
            </w:r>
          </w:p>
        </w:tc>
        <w:tc>
          <w:tcPr>
            <w:tcW w:w="708" w:type="dxa"/>
            <w:vAlign w:val="center"/>
          </w:tcPr>
          <w:p w14:paraId="7EC55052" w14:textId="77777777" w:rsidR="007C3104" w:rsidRDefault="007C3104" w:rsidP="007C3104">
            <w:pPr>
              <w:pStyle w:val="Default"/>
              <w:jc w:val="right"/>
              <w:rPr>
                <w:sz w:val="22"/>
                <w:szCs w:val="22"/>
              </w:rPr>
            </w:pPr>
            <w:r>
              <w:rPr>
                <w:sz w:val="22"/>
                <w:szCs w:val="22"/>
              </w:rPr>
              <w:t xml:space="preserve">0 </w:t>
            </w:r>
          </w:p>
        </w:tc>
        <w:tc>
          <w:tcPr>
            <w:tcW w:w="965" w:type="dxa"/>
            <w:tcBorders>
              <w:right w:val="double" w:sz="4" w:space="0" w:color="auto"/>
            </w:tcBorders>
            <w:vAlign w:val="center"/>
          </w:tcPr>
          <w:p w14:paraId="72A7659A" w14:textId="77777777" w:rsidR="007C3104" w:rsidRDefault="007C3104" w:rsidP="007C3104">
            <w:pPr>
              <w:pStyle w:val="Default"/>
              <w:jc w:val="right"/>
              <w:rPr>
                <w:sz w:val="22"/>
                <w:szCs w:val="22"/>
              </w:rPr>
            </w:pPr>
            <w:r>
              <w:rPr>
                <w:b/>
                <w:bCs/>
                <w:sz w:val="22"/>
                <w:szCs w:val="22"/>
              </w:rPr>
              <w:t xml:space="preserve">5 </w:t>
            </w:r>
          </w:p>
        </w:tc>
        <w:tc>
          <w:tcPr>
            <w:tcW w:w="913" w:type="dxa"/>
            <w:gridSpan w:val="2"/>
            <w:tcBorders>
              <w:left w:val="double" w:sz="4" w:space="0" w:color="auto"/>
            </w:tcBorders>
            <w:vAlign w:val="center"/>
          </w:tcPr>
          <w:p w14:paraId="1229E94C" w14:textId="42437AEA" w:rsidR="007C3104" w:rsidRPr="00DF597A" w:rsidRDefault="007C3104" w:rsidP="007C3104">
            <w:pPr>
              <w:pStyle w:val="Default"/>
              <w:jc w:val="right"/>
              <w:rPr>
                <w:bCs/>
                <w:sz w:val="22"/>
                <w:szCs w:val="22"/>
              </w:rPr>
            </w:pPr>
            <w:r>
              <w:rPr>
                <w:bCs/>
                <w:sz w:val="22"/>
                <w:szCs w:val="22"/>
              </w:rPr>
              <w:t>15</w:t>
            </w:r>
          </w:p>
        </w:tc>
        <w:tc>
          <w:tcPr>
            <w:tcW w:w="937" w:type="dxa"/>
            <w:vAlign w:val="center"/>
          </w:tcPr>
          <w:p w14:paraId="5C32C38A" w14:textId="1F67A4AE" w:rsidR="007C3104" w:rsidRPr="00DF597A" w:rsidRDefault="007C3104" w:rsidP="007C3104">
            <w:pPr>
              <w:pStyle w:val="Default"/>
              <w:jc w:val="right"/>
              <w:rPr>
                <w:bCs/>
                <w:sz w:val="22"/>
                <w:szCs w:val="22"/>
              </w:rPr>
            </w:pPr>
            <w:r>
              <w:rPr>
                <w:bCs/>
                <w:sz w:val="22"/>
                <w:szCs w:val="22"/>
              </w:rPr>
              <w:t>7</w:t>
            </w:r>
          </w:p>
        </w:tc>
        <w:tc>
          <w:tcPr>
            <w:tcW w:w="938" w:type="dxa"/>
            <w:tcBorders>
              <w:right w:val="double" w:sz="4" w:space="0" w:color="auto"/>
            </w:tcBorders>
            <w:vAlign w:val="center"/>
          </w:tcPr>
          <w:p w14:paraId="198524B3" w14:textId="55BC5FDE" w:rsidR="007C3104" w:rsidRDefault="007C3104" w:rsidP="007C3104">
            <w:pPr>
              <w:pStyle w:val="Default"/>
              <w:jc w:val="right"/>
              <w:rPr>
                <w:b/>
                <w:bCs/>
                <w:sz w:val="22"/>
                <w:szCs w:val="22"/>
              </w:rPr>
            </w:pPr>
            <w:r>
              <w:rPr>
                <w:b/>
                <w:bCs/>
                <w:sz w:val="22"/>
                <w:szCs w:val="22"/>
              </w:rPr>
              <w:t>22</w:t>
            </w:r>
          </w:p>
        </w:tc>
        <w:tc>
          <w:tcPr>
            <w:tcW w:w="1350" w:type="dxa"/>
            <w:gridSpan w:val="2"/>
            <w:tcBorders>
              <w:left w:val="double" w:sz="4" w:space="0" w:color="auto"/>
              <w:right w:val="double" w:sz="4" w:space="0" w:color="auto"/>
            </w:tcBorders>
            <w:vAlign w:val="bottom"/>
          </w:tcPr>
          <w:p w14:paraId="580E6EF0" w14:textId="77691CB4" w:rsidR="007C3104" w:rsidRPr="000E01F7" w:rsidRDefault="007C3104" w:rsidP="007C3104">
            <w:pPr>
              <w:pStyle w:val="Default"/>
              <w:jc w:val="right"/>
              <w:rPr>
                <w:sz w:val="22"/>
                <w:szCs w:val="22"/>
              </w:rPr>
            </w:pPr>
            <w:r w:rsidRPr="000E01F7">
              <w:rPr>
                <w:sz w:val="22"/>
                <w:szCs w:val="22"/>
              </w:rPr>
              <w:t>440</w:t>
            </w:r>
            <w:r w:rsidR="001C2BAB" w:rsidRPr="000E01F7">
              <w:rPr>
                <w:sz w:val="22"/>
                <w:szCs w:val="22"/>
              </w:rPr>
              <w:t> </w:t>
            </w:r>
            <w:r w:rsidRPr="000E01F7">
              <w:rPr>
                <w:sz w:val="22"/>
                <w:szCs w:val="22"/>
              </w:rPr>
              <w:t>%</w:t>
            </w:r>
          </w:p>
        </w:tc>
      </w:tr>
      <w:tr w:rsidR="007C3104" w14:paraId="1D3CE72D" w14:textId="3CC2DEC8" w:rsidTr="001E601A">
        <w:trPr>
          <w:trHeight w:val="340"/>
        </w:trPr>
        <w:tc>
          <w:tcPr>
            <w:tcW w:w="3222" w:type="dxa"/>
            <w:tcBorders>
              <w:left w:val="double" w:sz="4" w:space="0" w:color="auto"/>
              <w:right w:val="double" w:sz="4" w:space="0" w:color="auto"/>
            </w:tcBorders>
            <w:vAlign w:val="center"/>
          </w:tcPr>
          <w:p w14:paraId="47D4982C" w14:textId="14141342" w:rsidR="007C3104" w:rsidRDefault="007C3104" w:rsidP="007C3104">
            <w:pPr>
              <w:pStyle w:val="Default"/>
              <w:rPr>
                <w:sz w:val="22"/>
                <w:szCs w:val="22"/>
              </w:rPr>
            </w:pPr>
            <w:r>
              <w:rPr>
                <w:sz w:val="22"/>
                <w:szCs w:val="22"/>
              </w:rPr>
              <w:t xml:space="preserve">výsledky druhu P (počet) </w:t>
            </w:r>
          </w:p>
        </w:tc>
        <w:tc>
          <w:tcPr>
            <w:tcW w:w="699" w:type="dxa"/>
            <w:tcBorders>
              <w:left w:val="double" w:sz="4" w:space="0" w:color="auto"/>
            </w:tcBorders>
            <w:vAlign w:val="center"/>
          </w:tcPr>
          <w:p w14:paraId="41DEB0A4" w14:textId="77777777" w:rsidR="007C3104" w:rsidRDefault="007C3104" w:rsidP="007C3104">
            <w:pPr>
              <w:pStyle w:val="Default"/>
              <w:jc w:val="right"/>
              <w:rPr>
                <w:sz w:val="22"/>
                <w:szCs w:val="22"/>
              </w:rPr>
            </w:pPr>
            <w:r>
              <w:rPr>
                <w:sz w:val="22"/>
                <w:szCs w:val="22"/>
              </w:rPr>
              <w:t xml:space="preserve">20 </w:t>
            </w:r>
          </w:p>
        </w:tc>
        <w:tc>
          <w:tcPr>
            <w:tcW w:w="708" w:type="dxa"/>
            <w:vAlign w:val="center"/>
          </w:tcPr>
          <w:p w14:paraId="172B698F" w14:textId="77777777" w:rsidR="007C3104" w:rsidRDefault="007C3104" w:rsidP="007C3104">
            <w:pPr>
              <w:pStyle w:val="Default"/>
              <w:jc w:val="right"/>
              <w:rPr>
                <w:sz w:val="22"/>
                <w:szCs w:val="22"/>
              </w:rPr>
            </w:pPr>
            <w:r>
              <w:rPr>
                <w:sz w:val="22"/>
                <w:szCs w:val="22"/>
              </w:rPr>
              <w:t xml:space="preserve">0 </w:t>
            </w:r>
          </w:p>
        </w:tc>
        <w:tc>
          <w:tcPr>
            <w:tcW w:w="965" w:type="dxa"/>
            <w:tcBorders>
              <w:right w:val="double" w:sz="4" w:space="0" w:color="auto"/>
            </w:tcBorders>
            <w:vAlign w:val="center"/>
          </w:tcPr>
          <w:p w14:paraId="777D4E97" w14:textId="77777777" w:rsidR="007C3104" w:rsidRDefault="007C3104" w:rsidP="007C3104">
            <w:pPr>
              <w:pStyle w:val="Default"/>
              <w:jc w:val="right"/>
              <w:rPr>
                <w:sz w:val="22"/>
                <w:szCs w:val="22"/>
              </w:rPr>
            </w:pPr>
            <w:r>
              <w:rPr>
                <w:b/>
                <w:bCs/>
                <w:sz w:val="22"/>
                <w:szCs w:val="22"/>
              </w:rPr>
              <w:t xml:space="preserve">20 </w:t>
            </w:r>
          </w:p>
        </w:tc>
        <w:tc>
          <w:tcPr>
            <w:tcW w:w="913" w:type="dxa"/>
            <w:gridSpan w:val="2"/>
            <w:tcBorders>
              <w:left w:val="double" w:sz="4" w:space="0" w:color="auto"/>
            </w:tcBorders>
            <w:vAlign w:val="center"/>
          </w:tcPr>
          <w:p w14:paraId="10FF2B7A" w14:textId="7441BAD0" w:rsidR="007C3104" w:rsidRPr="00DF597A" w:rsidRDefault="007C3104" w:rsidP="007C3104">
            <w:pPr>
              <w:pStyle w:val="Default"/>
              <w:jc w:val="right"/>
              <w:rPr>
                <w:bCs/>
                <w:sz w:val="22"/>
                <w:szCs w:val="22"/>
              </w:rPr>
            </w:pPr>
            <w:r>
              <w:rPr>
                <w:bCs/>
                <w:sz w:val="22"/>
                <w:szCs w:val="22"/>
              </w:rPr>
              <w:t>17</w:t>
            </w:r>
          </w:p>
        </w:tc>
        <w:tc>
          <w:tcPr>
            <w:tcW w:w="937" w:type="dxa"/>
            <w:vAlign w:val="center"/>
          </w:tcPr>
          <w:p w14:paraId="4FF0B1F1" w14:textId="66255A3C" w:rsidR="007C3104" w:rsidRPr="00DF597A" w:rsidRDefault="007C3104" w:rsidP="007C3104">
            <w:pPr>
              <w:pStyle w:val="Default"/>
              <w:jc w:val="right"/>
              <w:rPr>
                <w:bCs/>
                <w:sz w:val="22"/>
                <w:szCs w:val="22"/>
              </w:rPr>
            </w:pPr>
            <w:r>
              <w:rPr>
                <w:bCs/>
                <w:sz w:val="22"/>
                <w:szCs w:val="22"/>
              </w:rPr>
              <w:t>4</w:t>
            </w:r>
          </w:p>
        </w:tc>
        <w:tc>
          <w:tcPr>
            <w:tcW w:w="938" w:type="dxa"/>
            <w:tcBorders>
              <w:right w:val="double" w:sz="4" w:space="0" w:color="auto"/>
            </w:tcBorders>
            <w:vAlign w:val="center"/>
          </w:tcPr>
          <w:p w14:paraId="0AC752A5" w14:textId="19EA8CBA" w:rsidR="007C3104" w:rsidRDefault="007C3104" w:rsidP="007C3104">
            <w:pPr>
              <w:pStyle w:val="Default"/>
              <w:jc w:val="right"/>
              <w:rPr>
                <w:b/>
                <w:bCs/>
                <w:sz w:val="22"/>
                <w:szCs w:val="22"/>
              </w:rPr>
            </w:pPr>
            <w:r>
              <w:rPr>
                <w:b/>
                <w:bCs/>
                <w:sz w:val="22"/>
                <w:szCs w:val="22"/>
              </w:rPr>
              <w:t>21</w:t>
            </w:r>
          </w:p>
        </w:tc>
        <w:tc>
          <w:tcPr>
            <w:tcW w:w="1350" w:type="dxa"/>
            <w:gridSpan w:val="2"/>
            <w:tcBorders>
              <w:left w:val="double" w:sz="4" w:space="0" w:color="auto"/>
              <w:right w:val="double" w:sz="4" w:space="0" w:color="auto"/>
            </w:tcBorders>
            <w:vAlign w:val="bottom"/>
          </w:tcPr>
          <w:p w14:paraId="1AE96039" w14:textId="167F182F" w:rsidR="007C3104" w:rsidRPr="000E01F7" w:rsidRDefault="007C3104" w:rsidP="007C3104">
            <w:pPr>
              <w:pStyle w:val="Default"/>
              <w:jc w:val="right"/>
              <w:rPr>
                <w:sz w:val="22"/>
                <w:szCs w:val="22"/>
              </w:rPr>
            </w:pPr>
            <w:r w:rsidRPr="000E01F7">
              <w:rPr>
                <w:sz w:val="22"/>
                <w:szCs w:val="22"/>
              </w:rPr>
              <w:t>105</w:t>
            </w:r>
            <w:r w:rsidR="001C2BAB" w:rsidRPr="000E01F7">
              <w:rPr>
                <w:sz w:val="22"/>
                <w:szCs w:val="22"/>
              </w:rPr>
              <w:t> </w:t>
            </w:r>
            <w:r w:rsidRPr="000E01F7">
              <w:rPr>
                <w:sz w:val="22"/>
                <w:szCs w:val="22"/>
              </w:rPr>
              <w:t>%</w:t>
            </w:r>
          </w:p>
        </w:tc>
      </w:tr>
      <w:tr w:rsidR="007C3104" w14:paraId="015F2119" w14:textId="061D1BB7" w:rsidTr="001E601A">
        <w:trPr>
          <w:trHeight w:val="340"/>
        </w:trPr>
        <w:tc>
          <w:tcPr>
            <w:tcW w:w="3222" w:type="dxa"/>
            <w:tcBorders>
              <w:left w:val="double" w:sz="4" w:space="0" w:color="auto"/>
              <w:right w:val="double" w:sz="4" w:space="0" w:color="auto"/>
            </w:tcBorders>
            <w:vAlign w:val="center"/>
          </w:tcPr>
          <w:p w14:paraId="447D679D" w14:textId="13A8CA39" w:rsidR="007C3104" w:rsidRDefault="007C3104" w:rsidP="007C3104">
            <w:pPr>
              <w:pStyle w:val="Default"/>
              <w:rPr>
                <w:sz w:val="22"/>
                <w:szCs w:val="22"/>
              </w:rPr>
            </w:pPr>
            <w:r>
              <w:rPr>
                <w:sz w:val="22"/>
                <w:szCs w:val="22"/>
              </w:rPr>
              <w:t xml:space="preserve">výsledky druhu F (počet) </w:t>
            </w:r>
          </w:p>
        </w:tc>
        <w:tc>
          <w:tcPr>
            <w:tcW w:w="699" w:type="dxa"/>
            <w:tcBorders>
              <w:left w:val="double" w:sz="4" w:space="0" w:color="auto"/>
            </w:tcBorders>
            <w:vAlign w:val="center"/>
          </w:tcPr>
          <w:p w14:paraId="19FCC9B4" w14:textId="77777777" w:rsidR="007C3104" w:rsidRDefault="007C3104" w:rsidP="007C3104">
            <w:pPr>
              <w:pStyle w:val="Default"/>
              <w:jc w:val="right"/>
              <w:rPr>
                <w:sz w:val="22"/>
                <w:szCs w:val="22"/>
              </w:rPr>
            </w:pPr>
            <w:r>
              <w:rPr>
                <w:sz w:val="22"/>
                <w:szCs w:val="22"/>
              </w:rPr>
              <w:t xml:space="preserve">150 </w:t>
            </w:r>
          </w:p>
        </w:tc>
        <w:tc>
          <w:tcPr>
            <w:tcW w:w="708" w:type="dxa"/>
            <w:vAlign w:val="center"/>
          </w:tcPr>
          <w:p w14:paraId="11D2C5CD" w14:textId="77777777" w:rsidR="007C3104" w:rsidRDefault="007C3104" w:rsidP="007C3104">
            <w:pPr>
              <w:pStyle w:val="Default"/>
              <w:jc w:val="right"/>
              <w:rPr>
                <w:sz w:val="22"/>
                <w:szCs w:val="22"/>
              </w:rPr>
            </w:pPr>
            <w:r>
              <w:rPr>
                <w:sz w:val="22"/>
                <w:szCs w:val="22"/>
              </w:rPr>
              <w:t xml:space="preserve">8 </w:t>
            </w:r>
          </w:p>
        </w:tc>
        <w:tc>
          <w:tcPr>
            <w:tcW w:w="965" w:type="dxa"/>
            <w:tcBorders>
              <w:right w:val="double" w:sz="4" w:space="0" w:color="auto"/>
            </w:tcBorders>
            <w:vAlign w:val="center"/>
          </w:tcPr>
          <w:p w14:paraId="5DFB00EB" w14:textId="77777777" w:rsidR="007C3104" w:rsidRDefault="007C3104" w:rsidP="007C3104">
            <w:pPr>
              <w:pStyle w:val="Default"/>
              <w:jc w:val="right"/>
              <w:rPr>
                <w:sz w:val="22"/>
                <w:szCs w:val="22"/>
              </w:rPr>
            </w:pPr>
            <w:r>
              <w:rPr>
                <w:b/>
                <w:bCs/>
                <w:sz w:val="22"/>
                <w:szCs w:val="22"/>
              </w:rPr>
              <w:t xml:space="preserve">158 </w:t>
            </w:r>
          </w:p>
        </w:tc>
        <w:tc>
          <w:tcPr>
            <w:tcW w:w="913" w:type="dxa"/>
            <w:gridSpan w:val="2"/>
            <w:tcBorders>
              <w:left w:val="double" w:sz="4" w:space="0" w:color="auto"/>
            </w:tcBorders>
            <w:vAlign w:val="center"/>
          </w:tcPr>
          <w:p w14:paraId="619AB530" w14:textId="2D85015C" w:rsidR="007C3104" w:rsidRPr="00DF597A" w:rsidRDefault="007C3104" w:rsidP="007C3104">
            <w:pPr>
              <w:pStyle w:val="Default"/>
              <w:jc w:val="right"/>
              <w:rPr>
                <w:bCs/>
                <w:sz w:val="22"/>
                <w:szCs w:val="22"/>
              </w:rPr>
            </w:pPr>
            <w:r>
              <w:rPr>
                <w:bCs/>
                <w:sz w:val="22"/>
                <w:szCs w:val="22"/>
              </w:rPr>
              <w:t>353</w:t>
            </w:r>
          </w:p>
        </w:tc>
        <w:tc>
          <w:tcPr>
            <w:tcW w:w="937" w:type="dxa"/>
            <w:vAlign w:val="center"/>
          </w:tcPr>
          <w:p w14:paraId="4617E36C" w14:textId="20C635B8" w:rsidR="007C3104" w:rsidRPr="00DF597A" w:rsidRDefault="007C3104" w:rsidP="007C3104">
            <w:pPr>
              <w:pStyle w:val="Default"/>
              <w:jc w:val="right"/>
              <w:rPr>
                <w:bCs/>
                <w:sz w:val="22"/>
                <w:szCs w:val="22"/>
              </w:rPr>
            </w:pPr>
            <w:r>
              <w:rPr>
                <w:bCs/>
                <w:sz w:val="22"/>
                <w:szCs w:val="22"/>
              </w:rPr>
              <w:t>39</w:t>
            </w:r>
          </w:p>
        </w:tc>
        <w:tc>
          <w:tcPr>
            <w:tcW w:w="938" w:type="dxa"/>
            <w:tcBorders>
              <w:right w:val="double" w:sz="4" w:space="0" w:color="auto"/>
            </w:tcBorders>
            <w:vAlign w:val="center"/>
          </w:tcPr>
          <w:p w14:paraId="54E0D387" w14:textId="4D266983" w:rsidR="007C3104" w:rsidRDefault="007C3104" w:rsidP="007C3104">
            <w:pPr>
              <w:pStyle w:val="Default"/>
              <w:jc w:val="right"/>
              <w:rPr>
                <w:b/>
                <w:bCs/>
                <w:sz w:val="22"/>
                <w:szCs w:val="22"/>
              </w:rPr>
            </w:pPr>
            <w:r>
              <w:rPr>
                <w:b/>
                <w:bCs/>
                <w:sz w:val="22"/>
                <w:szCs w:val="22"/>
              </w:rPr>
              <w:t>392</w:t>
            </w:r>
          </w:p>
        </w:tc>
        <w:tc>
          <w:tcPr>
            <w:tcW w:w="1350" w:type="dxa"/>
            <w:gridSpan w:val="2"/>
            <w:tcBorders>
              <w:left w:val="double" w:sz="4" w:space="0" w:color="auto"/>
              <w:right w:val="double" w:sz="4" w:space="0" w:color="auto"/>
            </w:tcBorders>
            <w:vAlign w:val="bottom"/>
          </w:tcPr>
          <w:p w14:paraId="25BCE704" w14:textId="24CF810B" w:rsidR="007C3104" w:rsidRPr="000E01F7" w:rsidRDefault="007C3104" w:rsidP="007C3104">
            <w:pPr>
              <w:pStyle w:val="Default"/>
              <w:jc w:val="right"/>
              <w:rPr>
                <w:sz w:val="22"/>
                <w:szCs w:val="22"/>
              </w:rPr>
            </w:pPr>
            <w:r w:rsidRPr="000E01F7">
              <w:rPr>
                <w:sz w:val="22"/>
                <w:szCs w:val="22"/>
              </w:rPr>
              <w:t>248</w:t>
            </w:r>
            <w:r w:rsidR="001C2BAB" w:rsidRPr="000E01F7">
              <w:rPr>
                <w:sz w:val="22"/>
                <w:szCs w:val="22"/>
              </w:rPr>
              <w:t> </w:t>
            </w:r>
            <w:r w:rsidRPr="000E01F7">
              <w:rPr>
                <w:sz w:val="22"/>
                <w:szCs w:val="22"/>
              </w:rPr>
              <w:t>%</w:t>
            </w:r>
          </w:p>
        </w:tc>
      </w:tr>
      <w:tr w:rsidR="007C3104" w14:paraId="387B3D6F" w14:textId="5AF74C62" w:rsidTr="001E601A">
        <w:trPr>
          <w:trHeight w:val="340"/>
        </w:trPr>
        <w:tc>
          <w:tcPr>
            <w:tcW w:w="3222" w:type="dxa"/>
            <w:tcBorders>
              <w:left w:val="double" w:sz="4" w:space="0" w:color="auto"/>
              <w:right w:val="double" w:sz="4" w:space="0" w:color="auto"/>
            </w:tcBorders>
            <w:vAlign w:val="center"/>
          </w:tcPr>
          <w:p w14:paraId="39857ADF" w14:textId="5E489E7B" w:rsidR="007C3104" w:rsidRDefault="007C3104" w:rsidP="007C3104">
            <w:pPr>
              <w:pStyle w:val="Default"/>
              <w:rPr>
                <w:sz w:val="22"/>
                <w:szCs w:val="22"/>
              </w:rPr>
            </w:pPr>
            <w:r>
              <w:rPr>
                <w:sz w:val="22"/>
                <w:szCs w:val="22"/>
              </w:rPr>
              <w:t xml:space="preserve">výsledky druhu G (počet) </w:t>
            </w:r>
          </w:p>
        </w:tc>
        <w:tc>
          <w:tcPr>
            <w:tcW w:w="699" w:type="dxa"/>
            <w:tcBorders>
              <w:left w:val="double" w:sz="4" w:space="0" w:color="auto"/>
            </w:tcBorders>
            <w:vAlign w:val="center"/>
          </w:tcPr>
          <w:p w14:paraId="50C79F18" w14:textId="77777777" w:rsidR="007C3104" w:rsidRDefault="007C3104" w:rsidP="007C3104">
            <w:pPr>
              <w:pStyle w:val="Default"/>
              <w:jc w:val="right"/>
              <w:rPr>
                <w:sz w:val="22"/>
                <w:szCs w:val="22"/>
              </w:rPr>
            </w:pPr>
            <w:r>
              <w:rPr>
                <w:sz w:val="22"/>
                <w:szCs w:val="22"/>
              </w:rPr>
              <w:t xml:space="preserve">460 </w:t>
            </w:r>
          </w:p>
        </w:tc>
        <w:tc>
          <w:tcPr>
            <w:tcW w:w="708" w:type="dxa"/>
            <w:vAlign w:val="center"/>
          </w:tcPr>
          <w:p w14:paraId="152F381C" w14:textId="77777777" w:rsidR="007C3104" w:rsidRDefault="007C3104" w:rsidP="007C3104">
            <w:pPr>
              <w:pStyle w:val="Default"/>
              <w:jc w:val="right"/>
              <w:rPr>
                <w:sz w:val="22"/>
                <w:szCs w:val="22"/>
              </w:rPr>
            </w:pPr>
            <w:r>
              <w:rPr>
                <w:sz w:val="22"/>
                <w:szCs w:val="22"/>
              </w:rPr>
              <w:t xml:space="preserve">30 </w:t>
            </w:r>
          </w:p>
        </w:tc>
        <w:tc>
          <w:tcPr>
            <w:tcW w:w="965" w:type="dxa"/>
            <w:tcBorders>
              <w:right w:val="double" w:sz="4" w:space="0" w:color="auto"/>
            </w:tcBorders>
            <w:vAlign w:val="center"/>
          </w:tcPr>
          <w:p w14:paraId="4F883C39" w14:textId="77777777" w:rsidR="007C3104" w:rsidRDefault="007C3104" w:rsidP="007C3104">
            <w:pPr>
              <w:pStyle w:val="Default"/>
              <w:jc w:val="right"/>
              <w:rPr>
                <w:sz w:val="22"/>
                <w:szCs w:val="22"/>
              </w:rPr>
            </w:pPr>
            <w:r>
              <w:rPr>
                <w:b/>
                <w:bCs/>
                <w:sz w:val="22"/>
                <w:szCs w:val="22"/>
              </w:rPr>
              <w:t xml:space="preserve">490 </w:t>
            </w:r>
          </w:p>
        </w:tc>
        <w:tc>
          <w:tcPr>
            <w:tcW w:w="913" w:type="dxa"/>
            <w:gridSpan w:val="2"/>
            <w:tcBorders>
              <w:left w:val="double" w:sz="4" w:space="0" w:color="auto"/>
            </w:tcBorders>
            <w:vAlign w:val="center"/>
          </w:tcPr>
          <w:p w14:paraId="556194AE" w14:textId="7DE9D40E" w:rsidR="007C3104" w:rsidRPr="00DF597A" w:rsidRDefault="007C3104" w:rsidP="007C3104">
            <w:pPr>
              <w:pStyle w:val="Default"/>
              <w:jc w:val="right"/>
              <w:rPr>
                <w:bCs/>
                <w:sz w:val="22"/>
                <w:szCs w:val="22"/>
              </w:rPr>
            </w:pPr>
            <w:r>
              <w:rPr>
                <w:bCs/>
                <w:sz w:val="22"/>
                <w:szCs w:val="22"/>
              </w:rPr>
              <w:t>1</w:t>
            </w:r>
            <w:r w:rsidR="00A74D72">
              <w:rPr>
                <w:bCs/>
                <w:sz w:val="22"/>
                <w:szCs w:val="22"/>
              </w:rPr>
              <w:t xml:space="preserve"> </w:t>
            </w:r>
            <w:r>
              <w:rPr>
                <w:bCs/>
                <w:sz w:val="22"/>
                <w:szCs w:val="22"/>
              </w:rPr>
              <w:t>320</w:t>
            </w:r>
          </w:p>
        </w:tc>
        <w:tc>
          <w:tcPr>
            <w:tcW w:w="937" w:type="dxa"/>
            <w:vAlign w:val="center"/>
          </w:tcPr>
          <w:p w14:paraId="4D443F53" w14:textId="7DC49893" w:rsidR="007C3104" w:rsidRPr="00DF597A" w:rsidRDefault="007C3104" w:rsidP="007C3104">
            <w:pPr>
              <w:pStyle w:val="Default"/>
              <w:jc w:val="right"/>
              <w:rPr>
                <w:bCs/>
                <w:sz w:val="22"/>
                <w:szCs w:val="22"/>
              </w:rPr>
            </w:pPr>
            <w:r>
              <w:rPr>
                <w:bCs/>
                <w:sz w:val="22"/>
                <w:szCs w:val="22"/>
              </w:rPr>
              <w:t>113</w:t>
            </w:r>
          </w:p>
        </w:tc>
        <w:tc>
          <w:tcPr>
            <w:tcW w:w="938" w:type="dxa"/>
            <w:tcBorders>
              <w:right w:val="double" w:sz="4" w:space="0" w:color="auto"/>
            </w:tcBorders>
            <w:vAlign w:val="center"/>
          </w:tcPr>
          <w:p w14:paraId="70B34E04" w14:textId="1C081A68" w:rsidR="007C3104" w:rsidRDefault="007C3104" w:rsidP="007C3104">
            <w:pPr>
              <w:pStyle w:val="Default"/>
              <w:jc w:val="right"/>
              <w:rPr>
                <w:b/>
                <w:bCs/>
                <w:sz w:val="22"/>
                <w:szCs w:val="22"/>
              </w:rPr>
            </w:pPr>
            <w:r>
              <w:rPr>
                <w:b/>
                <w:bCs/>
                <w:sz w:val="22"/>
                <w:szCs w:val="22"/>
              </w:rPr>
              <w:t>1</w:t>
            </w:r>
            <w:r w:rsidR="00A74D72">
              <w:rPr>
                <w:b/>
                <w:bCs/>
                <w:sz w:val="22"/>
                <w:szCs w:val="22"/>
              </w:rPr>
              <w:t xml:space="preserve"> </w:t>
            </w:r>
            <w:r>
              <w:rPr>
                <w:b/>
                <w:bCs/>
                <w:sz w:val="22"/>
                <w:szCs w:val="22"/>
              </w:rPr>
              <w:t>433</w:t>
            </w:r>
          </w:p>
        </w:tc>
        <w:tc>
          <w:tcPr>
            <w:tcW w:w="1350" w:type="dxa"/>
            <w:gridSpan w:val="2"/>
            <w:tcBorders>
              <w:left w:val="double" w:sz="4" w:space="0" w:color="auto"/>
              <w:right w:val="double" w:sz="4" w:space="0" w:color="auto"/>
            </w:tcBorders>
            <w:vAlign w:val="bottom"/>
          </w:tcPr>
          <w:p w14:paraId="5C3A33D3" w14:textId="47963ECA" w:rsidR="007C3104" w:rsidRPr="000E01F7" w:rsidRDefault="007C3104" w:rsidP="007C3104">
            <w:pPr>
              <w:pStyle w:val="Default"/>
              <w:jc w:val="right"/>
              <w:rPr>
                <w:sz w:val="22"/>
                <w:szCs w:val="22"/>
              </w:rPr>
            </w:pPr>
            <w:r w:rsidRPr="000E01F7">
              <w:rPr>
                <w:sz w:val="22"/>
                <w:szCs w:val="22"/>
              </w:rPr>
              <w:t>292</w:t>
            </w:r>
            <w:r w:rsidR="001C2BAB" w:rsidRPr="000E01F7">
              <w:rPr>
                <w:sz w:val="22"/>
                <w:szCs w:val="22"/>
              </w:rPr>
              <w:t> </w:t>
            </w:r>
            <w:r w:rsidRPr="000E01F7">
              <w:rPr>
                <w:sz w:val="22"/>
                <w:szCs w:val="22"/>
              </w:rPr>
              <w:t>%</w:t>
            </w:r>
          </w:p>
        </w:tc>
      </w:tr>
      <w:tr w:rsidR="007C3104" w14:paraId="3D32146A" w14:textId="3FE318E4" w:rsidTr="001E601A">
        <w:trPr>
          <w:trHeight w:val="340"/>
        </w:trPr>
        <w:tc>
          <w:tcPr>
            <w:tcW w:w="3222" w:type="dxa"/>
            <w:tcBorders>
              <w:left w:val="double" w:sz="4" w:space="0" w:color="auto"/>
              <w:right w:val="double" w:sz="4" w:space="0" w:color="auto"/>
            </w:tcBorders>
            <w:vAlign w:val="center"/>
          </w:tcPr>
          <w:p w14:paraId="6AF0A649" w14:textId="24BD63F8" w:rsidR="007C3104" w:rsidRDefault="007C3104" w:rsidP="007C3104">
            <w:pPr>
              <w:pStyle w:val="Default"/>
              <w:rPr>
                <w:sz w:val="22"/>
                <w:szCs w:val="22"/>
              </w:rPr>
            </w:pPr>
            <w:r>
              <w:rPr>
                <w:sz w:val="22"/>
                <w:szCs w:val="22"/>
              </w:rPr>
              <w:t xml:space="preserve">výsledky druhu R (počet) </w:t>
            </w:r>
          </w:p>
        </w:tc>
        <w:tc>
          <w:tcPr>
            <w:tcW w:w="699" w:type="dxa"/>
            <w:tcBorders>
              <w:left w:val="double" w:sz="4" w:space="0" w:color="auto"/>
            </w:tcBorders>
            <w:vAlign w:val="center"/>
          </w:tcPr>
          <w:p w14:paraId="2D282BFE" w14:textId="77777777" w:rsidR="007C3104" w:rsidRDefault="007C3104" w:rsidP="007C3104">
            <w:pPr>
              <w:pStyle w:val="Default"/>
              <w:jc w:val="right"/>
              <w:rPr>
                <w:sz w:val="22"/>
                <w:szCs w:val="22"/>
              </w:rPr>
            </w:pPr>
            <w:r>
              <w:rPr>
                <w:sz w:val="22"/>
                <w:szCs w:val="22"/>
              </w:rPr>
              <w:t xml:space="preserve">60 </w:t>
            </w:r>
          </w:p>
        </w:tc>
        <w:tc>
          <w:tcPr>
            <w:tcW w:w="708" w:type="dxa"/>
            <w:vAlign w:val="center"/>
          </w:tcPr>
          <w:p w14:paraId="792C7148" w14:textId="77777777" w:rsidR="007C3104" w:rsidRDefault="007C3104" w:rsidP="007C3104">
            <w:pPr>
              <w:pStyle w:val="Default"/>
              <w:jc w:val="right"/>
              <w:rPr>
                <w:sz w:val="22"/>
                <w:szCs w:val="22"/>
              </w:rPr>
            </w:pPr>
            <w:r>
              <w:rPr>
                <w:sz w:val="22"/>
                <w:szCs w:val="22"/>
              </w:rPr>
              <w:t xml:space="preserve">6 </w:t>
            </w:r>
          </w:p>
        </w:tc>
        <w:tc>
          <w:tcPr>
            <w:tcW w:w="965" w:type="dxa"/>
            <w:tcBorders>
              <w:right w:val="double" w:sz="4" w:space="0" w:color="auto"/>
            </w:tcBorders>
            <w:vAlign w:val="center"/>
          </w:tcPr>
          <w:p w14:paraId="3902D855" w14:textId="77777777" w:rsidR="007C3104" w:rsidRDefault="007C3104" w:rsidP="007C3104">
            <w:pPr>
              <w:pStyle w:val="Default"/>
              <w:jc w:val="right"/>
              <w:rPr>
                <w:sz w:val="22"/>
                <w:szCs w:val="22"/>
              </w:rPr>
            </w:pPr>
            <w:r>
              <w:rPr>
                <w:b/>
                <w:bCs/>
                <w:sz w:val="22"/>
                <w:szCs w:val="22"/>
              </w:rPr>
              <w:t xml:space="preserve">66 </w:t>
            </w:r>
          </w:p>
        </w:tc>
        <w:tc>
          <w:tcPr>
            <w:tcW w:w="913" w:type="dxa"/>
            <w:gridSpan w:val="2"/>
            <w:tcBorders>
              <w:left w:val="double" w:sz="4" w:space="0" w:color="auto"/>
            </w:tcBorders>
            <w:vAlign w:val="center"/>
          </w:tcPr>
          <w:p w14:paraId="4221F04A" w14:textId="4AB037BC" w:rsidR="007C3104" w:rsidRPr="00DF597A" w:rsidRDefault="007C3104" w:rsidP="007C3104">
            <w:pPr>
              <w:pStyle w:val="Default"/>
              <w:jc w:val="right"/>
              <w:rPr>
                <w:bCs/>
                <w:sz w:val="22"/>
                <w:szCs w:val="22"/>
              </w:rPr>
            </w:pPr>
            <w:r>
              <w:rPr>
                <w:bCs/>
                <w:sz w:val="22"/>
                <w:szCs w:val="22"/>
              </w:rPr>
              <w:t>255</w:t>
            </w:r>
          </w:p>
        </w:tc>
        <w:tc>
          <w:tcPr>
            <w:tcW w:w="937" w:type="dxa"/>
            <w:vAlign w:val="center"/>
          </w:tcPr>
          <w:p w14:paraId="4042D59D" w14:textId="75E54A31" w:rsidR="007C3104" w:rsidRPr="00DF597A" w:rsidRDefault="007C3104" w:rsidP="007C3104">
            <w:pPr>
              <w:pStyle w:val="Default"/>
              <w:jc w:val="right"/>
              <w:rPr>
                <w:bCs/>
                <w:sz w:val="22"/>
                <w:szCs w:val="22"/>
              </w:rPr>
            </w:pPr>
            <w:r>
              <w:rPr>
                <w:bCs/>
                <w:sz w:val="22"/>
                <w:szCs w:val="22"/>
              </w:rPr>
              <w:t>47</w:t>
            </w:r>
          </w:p>
        </w:tc>
        <w:tc>
          <w:tcPr>
            <w:tcW w:w="938" w:type="dxa"/>
            <w:tcBorders>
              <w:right w:val="double" w:sz="4" w:space="0" w:color="auto"/>
            </w:tcBorders>
            <w:vAlign w:val="center"/>
          </w:tcPr>
          <w:p w14:paraId="003C939C" w14:textId="714FFCBE" w:rsidR="007C3104" w:rsidRDefault="007C3104" w:rsidP="007C3104">
            <w:pPr>
              <w:pStyle w:val="Default"/>
              <w:jc w:val="right"/>
              <w:rPr>
                <w:b/>
                <w:bCs/>
                <w:sz w:val="22"/>
                <w:szCs w:val="22"/>
              </w:rPr>
            </w:pPr>
            <w:r>
              <w:rPr>
                <w:b/>
                <w:bCs/>
                <w:sz w:val="22"/>
                <w:szCs w:val="22"/>
              </w:rPr>
              <w:t>302</w:t>
            </w:r>
          </w:p>
        </w:tc>
        <w:tc>
          <w:tcPr>
            <w:tcW w:w="1350" w:type="dxa"/>
            <w:gridSpan w:val="2"/>
            <w:tcBorders>
              <w:left w:val="double" w:sz="4" w:space="0" w:color="auto"/>
              <w:right w:val="double" w:sz="4" w:space="0" w:color="auto"/>
            </w:tcBorders>
            <w:vAlign w:val="bottom"/>
          </w:tcPr>
          <w:p w14:paraId="063ECA9C" w14:textId="69F3A345" w:rsidR="007C3104" w:rsidRPr="000E01F7" w:rsidRDefault="007C3104" w:rsidP="007C3104">
            <w:pPr>
              <w:pStyle w:val="Default"/>
              <w:jc w:val="right"/>
              <w:rPr>
                <w:sz w:val="22"/>
                <w:szCs w:val="22"/>
              </w:rPr>
            </w:pPr>
            <w:r w:rsidRPr="000E01F7">
              <w:rPr>
                <w:sz w:val="22"/>
                <w:szCs w:val="22"/>
              </w:rPr>
              <w:t>458</w:t>
            </w:r>
            <w:r w:rsidR="001C2BAB" w:rsidRPr="000E01F7">
              <w:rPr>
                <w:sz w:val="22"/>
                <w:szCs w:val="22"/>
              </w:rPr>
              <w:t> </w:t>
            </w:r>
            <w:r w:rsidRPr="000E01F7">
              <w:rPr>
                <w:sz w:val="22"/>
                <w:szCs w:val="22"/>
              </w:rPr>
              <w:t>%</w:t>
            </w:r>
          </w:p>
        </w:tc>
      </w:tr>
      <w:tr w:rsidR="007C3104" w14:paraId="7EEE923C" w14:textId="31EF65BD" w:rsidTr="001E601A">
        <w:trPr>
          <w:trHeight w:val="340"/>
        </w:trPr>
        <w:tc>
          <w:tcPr>
            <w:tcW w:w="3222" w:type="dxa"/>
            <w:tcBorders>
              <w:left w:val="double" w:sz="4" w:space="0" w:color="auto"/>
              <w:right w:val="double" w:sz="4" w:space="0" w:color="auto"/>
            </w:tcBorders>
            <w:vAlign w:val="center"/>
          </w:tcPr>
          <w:p w14:paraId="4545F0B0" w14:textId="6BB7EC9F" w:rsidR="007C3104" w:rsidRDefault="007C3104" w:rsidP="007C3104">
            <w:pPr>
              <w:pStyle w:val="Default"/>
              <w:rPr>
                <w:sz w:val="22"/>
                <w:szCs w:val="22"/>
              </w:rPr>
            </w:pPr>
            <w:r>
              <w:rPr>
                <w:sz w:val="22"/>
                <w:szCs w:val="22"/>
              </w:rPr>
              <w:t xml:space="preserve">výsledky druhu Z (počet) </w:t>
            </w:r>
          </w:p>
        </w:tc>
        <w:tc>
          <w:tcPr>
            <w:tcW w:w="699" w:type="dxa"/>
            <w:tcBorders>
              <w:left w:val="double" w:sz="4" w:space="0" w:color="auto"/>
            </w:tcBorders>
            <w:vAlign w:val="center"/>
          </w:tcPr>
          <w:p w14:paraId="272F6309" w14:textId="77777777" w:rsidR="007C3104" w:rsidRDefault="007C3104" w:rsidP="007C3104">
            <w:pPr>
              <w:pStyle w:val="Default"/>
              <w:jc w:val="right"/>
              <w:rPr>
                <w:sz w:val="22"/>
                <w:szCs w:val="22"/>
              </w:rPr>
            </w:pPr>
            <w:r>
              <w:rPr>
                <w:sz w:val="22"/>
                <w:szCs w:val="22"/>
              </w:rPr>
              <w:t xml:space="preserve">180 </w:t>
            </w:r>
          </w:p>
        </w:tc>
        <w:tc>
          <w:tcPr>
            <w:tcW w:w="708" w:type="dxa"/>
            <w:vAlign w:val="center"/>
          </w:tcPr>
          <w:p w14:paraId="5FF7149A" w14:textId="77777777" w:rsidR="007C3104" w:rsidRDefault="007C3104" w:rsidP="007C3104">
            <w:pPr>
              <w:pStyle w:val="Default"/>
              <w:jc w:val="right"/>
              <w:rPr>
                <w:sz w:val="22"/>
                <w:szCs w:val="22"/>
              </w:rPr>
            </w:pPr>
            <w:r>
              <w:rPr>
                <w:sz w:val="22"/>
                <w:szCs w:val="22"/>
              </w:rPr>
              <w:t xml:space="preserve">10 </w:t>
            </w:r>
          </w:p>
        </w:tc>
        <w:tc>
          <w:tcPr>
            <w:tcW w:w="965" w:type="dxa"/>
            <w:tcBorders>
              <w:right w:val="double" w:sz="4" w:space="0" w:color="auto"/>
            </w:tcBorders>
            <w:vAlign w:val="center"/>
          </w:tcPr>
          <w:p w14:paraId="24DE4AF6" w14:textId="77777777" w:rsidR="007C3104" w:rsidRDefault="007C3104" w:rsidP="007C3104">
            <w:pPr>
              <w:pStyle w:val="Default"/>
              <w:jc w:val="right"/>
              <w:rPr>
                <w:sz w:val="22"/>
                <w:szCs w:val="22"/>
              </w:rPr>
            </w:pPr>
            <w:r>
              <w:rPr>
                <w:b/>
                <w:bCs/>
                <w:sz w:val="22"/>
                <w:szCs w:val="22"/>
              </w:rPr>
              <w:t xml:space="preserve">190 </w:t>
            </w:r>
          </w:p>
        </w:tc>
        <w:tc>
          <w:tcPr>
            <w:tcW w:w="913" w:type="dxa"/>
            <w:gridSpan w:val="2"/>
            <w:tcBorders>
              <w:left w:val="double" w:sz="4" w:space="0" w:color="auto"/>
            </w:tcBorders>
            <w:vAlign w:val="center"/>
          </w:tcPr>
          <w:p w14:paraId="085F0CC4" w14:textId="59F4CCF4" w:rsidR="007C3104" w:rsidRPr="00DF597A" w:rsidRDefault="007C3104" w:rsidP="007C3104">
            <w:pPr>
              <w:pStyle w:val="Default"/>
              <w:jc w:val="right"/>
              <w:rPr>
                <w:bCs/>
                <w:sz w:val="22"/>
                <w:szCs w:val="22"/>
              </w:rPr>
            </w:pPr>
            <w:r>
              <w:rPr>
                <w:bCs/>
                <w:sz w:val="22"/>
                <w:szCs w:val="22"/>
              </w:rPr>
              <w:t>420</w:t>
            </w:r>
          </w:p>
        </w:tc>
        <w:tc>
          <w:tcPr>
            <w:tcW w:w="937" w:type="dxa"/>
            <w:vAlign w:val="center"/>
          </w:tcPr>
          <w:p w14:paraId="12573775" w14:textId="05410914" w:rsidR="007C3104" w:rsidRPr="00DF597A" w:rsidRDefault="007C3104" w:rsidP="007C3104">
            <w:pPr>
              <w:pStyle w:val="Default"/>
              <w:jc w:val="right"/>
              <w:rPr>
                <w:bCs/>
                <w:sz w:val="22"/>
                <w:szCs w:val="22"/>
              </w:rPr>
            </w:pPr>
            <w:r>
              <w:rPr>
                <w:bCs/>
                <w:sz w:val="22"/>
                <w:szCs w:val="22"/>
              </w:rPr>
              <w:t>36</w:t>
            </w:r>
          </w:p>
        </w:tc>
        <w:tc>
          <w:tcPr>
            <w:tcW w:w="938" w:type="dxa"/>
            <w:tcBorders>
              <w:right w:val="double" w:sz="4" w:space="0" w:color="auto"/>
            </w:tcBorders>
            <w:vAlign w:val="center"/>
          </w:tcPr>
          <w:p w14:paraId="697838BD" w14:textId="5B46F5ED" w:rsidR="007C3104" w:rsidRDefault="007C3104" w:rsidP="007C3104">
            <w:pPr>
              <w:pStyle w:val="Default"/>
              <w:jc w:val="right"/>
              <w:rPr>
                <w:b/>
                <w:bCs/>
                <w:sz w:val="22"/>
                <w:szCs w:val="22"/>
              </w:rPr>
            </w:pPr>
            <w:r>
              <w:rPr>
                <w:b/>
                <w:bCs/>
                <w:sz w:val="22"/>
                <w:szCs w:val="22"/>
              </w:rPr>
              <w:t>456</w:t>
            </w:r>
          </w:p>
        </w:tc>
        <w:tc>
          <w:tcPr>
            <w:tcW w:w="1350" w:type="dxa"/>
            <w:gridSpan w:val="2"/>
            <w:tcBorders>
              <w:left w:val="double" w:sz="4" w:space="0" w:color="auto"/>
              <w:right w:val="double" w:sz="4" w:space="0" w:color="auto"/>
            </w:tcBorders>
            <w:vAlign w:val="bottom"/>
          </w:tcPr>
          <w:p w14:paraId="481EDDCC" w14:textId="42CB90BE" w:rsidR="007C3104" w:rsidRPr="000E01F7" w:rsidRDefault="007C3104" w:rsidP="007C3104">
            <w:pPr>
              <w:pStyle w:val="Default"/>
              <w:jc w:val="right"/>
              <w:rPr>
                <w:sz w:val="22"/>
                <w:szCs w:val="22"/>
              </w:rPr>
            </w:pPr>
            <w:r w:rsidRPr="000E01F7">
              <w:rPr>
                <w:sz w:val="22"/>
                <w:szCs w:val="22"/>
              </w:rPr>
              <w:t>240</w:t>
            </w:r>
            <w:r w:rsidR="001C2BAB" w:rsidRPr="000E01F7">
              <w:rPr>
                <w:sz w:val="22"/>
                <w:szCs w:val="22"/>
              </w:rPr>
              <w:t> </w:t>
            </w:r>
            <w:r w:rsidRPr="000E01F7">
              <w:rPr>
                <w:sz w:val="22"/>
                <w:szCs w:val="22"/>
              </w:rPr>
              <w:t>%</w:t>
            </w:r>
          </w:p>
        </w:tc>
      </w:tr>
      <w:tr w:rsidR="007C3104" w14:paraId="65EEB8F9" w14:textId="632FC8A7" w:rsidTr="001E601A">
        <w:trPr>
          <w:trHeight w:val="340"/>
        </w:trPr>
        <w:tc>
          <w:tcPr>
            <w:tcW w:w="3222" w:type="dxa"/>
            <w:tcBorders>
              <w:left w:val="double" w:sz="4" w:space="0" w:color="auto"/>
              <w:bottom w:val="double" w:sz="4" w:space="0" w:color="auto"/>
              <w:right w:val="double" w:sz="4" w:space="0" w:color="auto"/>
            </w:tcBorders>
            <w:vAlign w:val="center"/>
          </w:tcPr>
          <w:p w14:paraId="216D03F5" w14:textId="77777777" w:rsidR="007C3104" w:rsidRDefault="007C3104" w:rsidP="007C3104">
            <w:pPr>
              <w:pStyle w:val="Default"/>
              <w:rPr>
                <w:sz w:val="22"/>
                <w:szCs w:val="22"/>
              </w:rPr>
            </w:pPr>
            <w:r>
              <w:rPr>
                <w:sz w:val="22"/>
                <w:szCs w:val="22"/>
              </w:rPr>
              <w:t xml:space="preserve">celkem hlavních výsledků </w:t>
            </w:r>
          </w:p>
        </w:tc>
        <w:tc>
          <w:tcPr>
            <w:tcW w:w="699" w:type="dxa"/>
            <w:tcBorders>
              <w:left w:val="double" w:sz="4" w:space="0" w:color="auto"/>
              <w:bottom w:val="double" w:sz="4" w:space="0" w:color="auto"/>
            </w:tcBorders>
            <w:vAlign w:val="center"/>
          </w:tcPr>
          <w:p w14:paraId="6E3D80BA" w14:textId="77777777" w:rsidR="007C3104" w:rsidRDefault="007C3104" w:rsidP="007C3104">
            <w:pPr>
              <w:pStyle w:val="Default"/>
              <w:jc w:val="right"/>
              <w:rPr>
                <w:sz w:val="22"/>
                <w:szCs w:val="22"/>
              </w:rPr>
            </w:pPr>
            <w:r>
              <w:rPr>
                <w:sz w:val="22"/>
                <w:szCs w:val="22"/>
              </w:rPr>
              <w:t xml:space="preserve">875 </w:t>
            </w:r>
          </w:p>
        </w:tc>
        <w:tc>
          <w:tcPr>
            <w:tcW w:w="708" w:type="dxa"/>
            <w:tcBorders>
              <w:bottom w:val="double" w:sz="4" w:space="0" w:color="auto"/>
            </w:tcBorders>
            <w:vAlign w:val="center"/>
          </w:tcPr>
          <w:p w14:paraId="48805EA6" w14:textId="77777777" w:rsidR="007C3104" w:rsidRDefault="007C3104" w:rsidP="007C3104">
            <w:pPr>
              <w:pStyle w:val="Default"/>
              <w:jc w:val="right"/>
              <w:rPr>
                <w:sz w:val="22"/>
                <w:szCs w:val="22"/>
              </w:rPr>
            </w:pPr>
            <w:r>
              <w:rPr>
                <w:sz w:val="22"/>
                <w:szCs w:val="22"/>
              </w:rPr>
              <w:t xml:space="preserve">54 </w:t>
            </w:r>
          </w:p>
        </w:tc>
        <w:tc>
          <w:tcPr>
            <w:tcW w:w="965" w:type="dxa"/>
            <w:tcBorders>
              <w:bottom w:val="double" w:sz="4" w:space="0" w:color="auto"/>
              <w:right w:val="double" w:sz="4" w:space="0" w:color="auto"/>
            </w:tcBorders>
            <w:vAlign w:val="center"/>
          </w:tcPr>
          <w:p w14:paraId="7FBBE28A" w14:textId="77777777" w:rsidR="007C3104" w:rsidRDefault="007C3104" w:rsidP="007C3104">
            <w:pPr>
              <w:pStyle w:val="Default"/>
              <w:jc w:val="right"/>
              <w:rPr>
                <w:sz w:val="22"/>
                <w:szCs w:val="22"/>
              </w:rPr>
            </w:pPr>
            <w:r>
              <w:rPr>
                <w:b/>
                <w:bCs/>
                <w:sz w:val="22"/>
                <w:szCs w:val="22"/>
              </w:rPr>
              <w:t xml:space="preserve">929 </w:t>
            </w:r>
          </w:p>
        </w:tc>
        <w:tc>
          <w:tcPr>
            <w:tcW w:w="913" w:type="dxa"/>
            <w:gridSpan w:val="2"/>
            <w:tcBorders>
              <w:left w:val="double" w:sz="4" w:space="0" w:color="auto"/>
              <w:bottom w:val="double" w:sz="4" w:space="0" w:color="auto"/>
            </w:tcBorders>
            <w:vAlign w:val="center"/>
          </w:tcPr>
          <w:p w14:paraId="6B5B5216" w14:textId="0EAB0927" w:rsidR="007C3104" w:rsidRPr="00DF597A" w:rsidRDefault="007C3104" w:rsidP="007C3104">
            <w:pPr>
              <w:pStyle w:val="Default"/>
              <w:jc w:val="right"/>
              <w:rPr>
                <w:bCs/>
                <w:sz w:val="22"/>
                <w:szCs w:val="22"/>
              </w:rPr>
            </w:pPr>
            <w:r>
              <w:rPr>
                <w:bCs/>
                <w:sz w:val="22"/>
                <w:szCs w:val="22"/>
              </w:rPr>
              <w:t>2</w:t>
            </w:r>
            <w:r w:rsidR="00A74D72">
              <w:rPr>
                <w:bCs/>
                <w:sz w:val="22"/>
                <w:szCs w:val="22"/>
              </w:rPr>
              <w:t xml:space="preserve"> </w:t>
            </w:r>
            <w:r>
              <w:rPr>
                <w:bCs/>
                <w:sz w:val="22"/>
                <w:szCs w:val="22"/>
              </w:rPr>
              <w:t>380</w:t>
            </w:r>
          </w:p>
        </w:tc>
        <w:tc>
          <w:tcPr>
            <w:tcW w:w="937" w:type="dxa"/>
            <w:tcBorders>
              <w:bottom w:val="double" w:sz="4" w:space="0" w:color="auto"/>
            </w:tcBorders>
            <w:vAlign w:val="center"/>
          </w:tcPr>
          <w:p w14:paraId="47805046" w14:textId="71B87143" w:rsidR="007C3104" w:rsidRPr="00DF597A" w:rsidRDefault="007C3104" w:rsidP="007C3104">
            <w:pPr>
              <w:pStyle w:val="Default"/>
              <w:jc w:val="right"/>
              <w:rPr>
                <w:bCs/>
                <w:sz w:val="22"/>
                <w:szCs w:val="22"/>
              </w:rPr>
            </w:pPr>
            <w:r>
              <w:rPr>
                <w:bCs/>
                <w:sz w:val="22"/>
                <w:szCs w:val="22"/>
              </w:rPr>
              <w:t>246</w:t>
            </w:r>
          </w:p>
        </w:tc>
        <w:tc>
          <w:tcPr>
            <w:tcW w:w="938" w:type="dxa"/>
            <w:tcBorders>
              <w:bottom w:val="double" w:sz="4" w:space="0" w:color="auto"/>
              <w:right w:val="double" w:sz="4" w:space="0" w:color="auto"/>
            </w:tcBorders>
            <w:vAlign w:val="center"/>
          </w:tcPr>
          <w:p w14:paraId="740492DC" w14:textId="7520B54C" w:rsidR="007C3104" w:rsidRDefault="007C3104" w:rsidP="007C3104">
            <w:pPr>
              <w:pStyle w:val="Default"/>
              <w:jc w:val="right"/>
              <w:rPr>
                <w:b/>
                <w:bCs/>
                <w:sz w:val="22"/>
                <w:szCs w:val="22"/>
              </w:rPr>
            </w:pPr>
            <w:r>
              <w:rPr>
                <w:b/>
                <w:bCs/>
                <w:sz w:val="22"/>
                <w:szCs w:val="22"/>
              </w:rPr>
              <w:t>2</w:t>
            </w:r>
            <w:r w:rsidR="00A74D72">
              <w:rPr>
                <w:b/>
                <w:bCs/>
                <w:sz w:val="22"/>
                <w:szCs w:val="22"/>
              </w:rPr>
              <w:t xml:space="preserve"> </w:t>
            </w:r>
            <w:r>
              <w:rPr>
                <w:b/>
                <w:bCs/>
                <w:sz w:val="22"/>
                <w:szCs w:val="22"/>
              </w:rPr>
              <w:t>626</w:t>
            </w:r>
          </w:p>
        </w:tc>
        <w:tc>
          <w:tcPr>
            <w:tcW w:w="1350" w:type="dxa"/>
            <w:gridSpan w:val="2"/>
            <w:tcBorders>
              <w:left w:val="double" w:sz="4" w:space="0" w:color="auto"/>
              <w:bottom w:val="double" w:sz="4" w:space="0" w:color="auto"/>
              <w:right w:val="double" w:sz="4" w:space="0" w:color="auto"/>
            </w:tcBorders>
            <w:vAlign w:val="bottom"/>
          </w:tcPr>
          <w:p w14:paraId="3B319DF0" w14:textId="167C9A79" w:rsidR="007C3104" w:rsidRPr="000E01F7" w:rsidRDefault="007C3104" w:rsidP="007C3104">
            <w:pPr>
              <w:pStyle w:val="Default"/>
              <w:jc w:val="right"/>
              <w:rPr>
                <w:sz w:val="22"/>
                <w:szCs w:val="22"/>
              </w:rPr>
            </w:pPr>
            <w:r w:rsidRPr="000E01F7">
              <w:rPr>
                <w:sz w:val="22"/>
                <w:szCs w:val="22"/>
              </w:rPr>
              <w:t>283</w:t>
            </w:r>
            <w:r w:rsidR="001C2BAB" w:rsidRPr="000E01F7">
              <w:rPr>
                <w:sz w:val="22"/>
                <w:szCs w:val="22"/>
              </w:rPr>
              <w:t> </w:t>
            </w:r>
            <w:r w:rsidRPr="000E01F7">
              <w:rPr>
                <w:sz w:val="22"/>
                <w:szCs w:val="22"/>
              </w:rPr>
              <w:t>%</w:t>
            </w:r>
          </w:p>
        </w:tc>
      </w:tr>
    </w:tbl>
    <w:p w14:paraId="2C416B5E" w14:textId="1CDD00B3" w:rsidR="006033F4" w:rsidRDefault="007B7643" w:rsidP="007B7643">
      <w:pPr>
        <w:spacing w:before="240" w:after="120"/>
        <w:jc w:val="both"/>
        <w:rPr>
          <w:szCs w:val="28"/>
        </w:rPr>
      </w:pPr>
      <w:r>
        <w:rPr>
          <w:szCs w:val="28"/>
        </w:rPr>
        <w:t xml:space="preserve">Pokud jde o počet projektů, je indikátor aktuálně splněn v případě PP1 a o více než polovinu překročen u PP2. </w:t>
      </w:r>
    </w:p>
    <w:p w14:paraId="39CD6BC0" w14:textId="5741792C" w:rsidR="007B7643" w:rsidRDefault="000E01F7" w:rsidP="007B7643">
      <w:pPr>
        <w:spacing w:after="120"/>
        <w:jc w:val="both"/>
        <w:rPr>
          <w:szCs w:val="28"/>
        </w:rPr>
      </w:pPr>
      <w:r>
        <w:rPr>
          <w:szCs w:val="28"/>
        </w:rPr>
        <w:t>Pokud jde o strukturu příjemců podpory, lze konstatovat významné překročení očekávaného zapojení malých podniků (o více než polovinu), naopak podíl příjemců z řad středních a velkých podniků je pouze na úrovni cca 80 %. Z části je to dáno vyššími výdaji na PP2, kde malé podniky dominují, a celkově to hodnotíme jednoznačně pozitivně, neboť záměrem je dotačně podporovat zejména malé a střední podniky.</w:t>
      </w:r>
    </w:p>
    <w:p w14:paraId="1A67BABE" w14:textId="4E64ABD2" w:rsidR="00A74D72" w:rsidRPr="00A74D72" w:rsidRDefault="00A74D72" w:rsidP="007B7643">
      <w:pPr>
        <w:spacing w:after="120"/>
        <w:jc w:val="both"/>
        <w:rPr>
          <w:szCs w:val="28"/>
        </w:rPr>
      </w:pPr>
      <w:r w:rsidRPr="00A74D72">
        <w:rPr>
          <w:szCs w:val="28"/>
        </w:rPr>
        <w:t xml:space="preserve">Pokud jde o druhy výsledků, které jsou uznány jako hlavní, přesahuje již počet plánovaných výsledků podpořených projektů hodnoty stanovené pro hodnocení </w:t>
      </w:r>
      <w:r w:rsidR="00F72B3A">
        <w:rPr>
          <w:szCs w:val="28"/>
        </w:rPr>
        <w:t>P</w:t>
      </w:r>
      <w:r w:rsidRPr="00A74D72">
        <w:rPr>
          <w:szCs w:val="28"/>
        </w:rPr>
        <w:t>rogramu jako celku, a to u jednotlivých druhů výsledků dvojnásobně i vícenásobně. Přesaženy jsou i hodnoty stanovené samostatně pro každý z</w:t>
      </w:r>
      <w:r w:rsidR="00544EB6">
        <w:rPr>
          <w:szCs w:val="28"/>
        </w:rPr>
        <w:t> </w:t>
      </w:r>
      <w:r w:rsidRPr="00A74D72">
        <w:rPr>
          <w:szCs w:val="28"/>
        </w:rPr>
        <w:t xml:space="preserve">podprogramů. Je však pravdou, že hodnoty těchto indikátorů jsou v programech, a TREND není výjimkou, stanovovány velmi konzervativně. </w:t>
      </w:r>
    </w:p>
    <w:p w14:paraId="1873BA75" w14:textId="77777777" w:rsidR="00A74D72" w:rsidRPr="00A74D72" w:rsidRDefault="00A74D72" w:rsidP="007B7643">
      <w:pPr>
        <w:spacing w:after="120"/>
        <w:jc w:val="both"/>
        <w:rPr>
          <w:szCs w:val="28"/>
        </w:rPr>
      </w:pPr>
      <w:r w:rsidRPr="00A74D72">
        <w:rPr>
          <w:szCs w:val="28"/>
        </w:rPr>
        <w:t>Výjimkou z významného překračování počtu výsledků je pouze druh P – patent, kde je celkově plánováno dosažení 21 patentů, avšak stanovená hodnota 20 platná pro Podprogram 1 ještě v tomto podprogramu naplněna nebyla, aktuální plánovaný počet patentů je pouze 17.</w:t>
      </w:r>
    </w:p>
    <w:p w14:paraId="2AC4CD28" w14:textId="21FEFBCE" w:rsidR="00A74D72" w:rsidRPr="00A74D72" w:rsidRDefault="00A74D72" w:rsidP="007B7643">
      <w:pPr>
        <w:spacing w:after="120"/>
        <w:jc w:val="both"/>
        <w:rPr>
          <w:szCs w:val="28"/>
        </w:rPr>
      </w:pPr>
      <w:r w:rsidRPr="00A74D72">
        <w:rPr>
          <w:szCs w:val="28"/>
        </w:rPr>
        <w:lastRenderedPageBreak/>
        <w:t>Z hlediska struktury výsledků očekávané v Programu se nejvíce vymyká výsledek druhu software, kterých je v podpořených projektech plánováno značné množství, oproti stanovenému indikátoru 4,6x více. Stejně tak je vysoký počet těchto výsledků i reálně dosahován. Software přitom patří k poměrně problematickým výsledkům z hlediska zastaralé definice</w:t>
      </w:r>
      <w:r w:rsidR="000E01F7">
        <w:rPr>
          <w:szCs w:val="28"/>
        </w:rPr>
        <w:t xml:space="preserve"> druhu výsledku</w:t>
      </w:r>
      <w:r w:rsidRPr="00A74D72">
        <w:rPr>
          <w:szCs w:val="28"/>
        </w:rPr>
        <w:t xml:space="preserve">. </w:t>
      </w:r>
    </w:p>
    <w:p w14:paraId="1C0ECF3D" w14:textId="4E0ED1B8" w:rsidR="00AD02DC" w:rsidRDefault="00A74D72" w:rsidP="007B7643">
      <w:pPr>
        <w:spacing w:after="120"/>
        <w:jc w:val="both"/>
        <w:rPr>
          <w:szCs w:val="28"/>
        </w:rPr>
      </w:pPr>
      <w:r w:rsidRPr="00A74D72">
        <w:rPr>
          <w:szCs w:val="28"/>
        </w:rPr>
        <w:t>Z těchto plánovaných počtů jednotlivých výsledků eviduje k srpnu 2024 TA ČR jako reálně dosažené tyto počty výsledků ukončených a běžících projektů:</w:t>
      </w:r>
    </w:p>
    <w:tbl>
      <w:tblPr>
        <w:tblW w:w="4754" w:type="dxa"/>
        <w:tblCellMar>
          <w:left w:w="70" w:type="dxa"/>
          <w:right w:w="70" w:type="dxa"/>
        </w:tblCellMar>
        <w:tblLook w:val="04A0" w:firstRow="1" w:lastRow="0" w:firstColumn="1" w:lastColumn="0" w:noHBand="0" w:noVBand="1"/>
      </w:tblPr>
      <w:tblGrid>
        <w:gridCol w:w="3964"/>
        <w:gridCol w:w="790"/>
      </w:tblGrid>
      <w:tr w:rsidR="00AD02DC" w:rsidRPr="00AD02DC" w14:paraId="378868F6" w14:textId="77777777" w:rsidTr="000E01F7">
        <w:trPr>
          <w:trHeight w:val="300"/>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37775" w14:textId="25E20779" w:rsidR="00AD02DC" w:rsidRPr="00AD02DC" w:rsidRDefault="000E01F7"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F</w:t>
            </w:r>
            <w:r>
              <w:rPr>
                <w:rFonts w:ascii="Calibri" w:eastAsia="Times New Roman" w:hAnsi="Calibri" w:cs="Calibri"/>
                <w:color w:val="000000"/>
                <w:lang w:eastAsia="cs-CZ"/>
              </w:rPr>
              <w:t xml:space="preserve"> – užitný</w:t>
            </w:r>
            <w:r w:rsidRPr="000E01F7">
              <w:rPr>
                <w:szCs w:val="28"/>
              </w:rPr>
              <w:t xml:space="preserve"> </w:t>
            </w:r>
            <w:r>
              <w:rPr>
                <w:szCs w:val="28"/>
              </w:rPr>
              <w:t xml:space="preserve">a průmyslový </w:t>
            </w:r>
            <w:r w:rsidRPr="000E01F7">
              <w:rPr>
                <w:szCs w:val="28"/>
              </w:rPr>
              <w:t>vzor</w:t>
            </w:r>
          </w:p>
        </w:tc>
        <w:tc>
          <w:tcPr>
            <w:tcW w:w="790" w:type="dxa"/>
            <w:tcBorders>
              <w:top w:val="single" w:sz="4" w:space="0" w:color="auto"/>
              <w:left w:val="nil"/>
              <w:bottom w:val="single" w:sz="4" w:space="0" w:color="auto"/>
              <w:right w:val="single" w:sz="4" w:space="0" w:color="auto"/>
            </w:tcBorders>
            <w:shd w:val="clear" w:color="auto" w:fill="auto"/>
            <w:noWrap/>
            <w:vAlign w:val="bottom"/>
            <w:hideMark/>
          </w:tcPr>
          <w:p w14:paraId="07AA9E52"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166</w:t>
            </w:r>
          </w:p>
        </w:tc>
      </w:tr>
      <w:tr w:rsidR="00AD02DC" w:rsidRPr="00AD02DC" w14:paraId="75181B56"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072F6F8D" w14:textId="6DA1DEFB" w:rsidR="00AD02DC" w:rsidRPr="00AD02DC" w:rsidRDefault="000E01F7"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G</w:t>
            </w:r>
            <w:r>
              <w:rPr>
                <w:rFonts w:ascii="Calibri" w:eastAsia="Times New Roman" w:hAnsi="Calibri" w:cs="Calibri"/>
                <w:color w:val="000000"/>
                <w:lang w:eastAsia="cs-CZ"/>
              </w:rPr>
              <w:t xml:space="preserve"> – funkční</w:t>
            </w:r>
            <w:r w:rsidRPr="000E01F7">
              <w:rPr>
                <w:szCs w:val="28"/>
              </w:rPr>
              <w:t xml:space="preserve"> vzorek</w:t>
            </w:r>
            <w:r>
              <w:rPr>
                <w:szCs w:val="28"/>
              </w:rPr>
              <w:t>, prototyp</w:t>
            </w:r>
          </w:p>
        </w:tc>
        <w:tc>
          <w:tcPr>
            <w:tcW w:w="790" w:type="dxa"/>
            <w:tcBorders>
              <w:top w:val="nil"/>
              <w:left w:val="nil"/>
              <w:bottom w:val="single" w:sz="4" w:space="0" w:color="auto"/>
              <w:right w:val="single" w:sz="4" w:space="0" w:color="auto"/>
            </w:tcBorders>
            <w:shd w:val="clear" w:color="auto" w:fill="auto"/>
            <w:noWrap/>
            <w:vAlign w:val="bottom"/>
            <w:hideMark/>
          </w:tcPr>
          <w:p w14:paraId="41D720F4"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707</w:t>
            </w:r>
          </w:p>
        </w:tc>
      </w:tr>
      <w:tr w:rsidR="00AD02DC" w:rsidRPr="00AD02DC" w14:paraId="354BE57F"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8DDA542" w14:textId="71653689" w:rsidR="00AD02DC" w:rsidRPr="00AD02DC" w:rsidRDefault="00AD02DC"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N</w:t>
            </w:r>
            <w:r w:rsidR="000E01F7">
              <w:rPr>
                <w:rFonts w:ascii="Calibri" w:eastAsia="Times New Roman" w:hAnsi="Calibri" w:cs="Calibri"/>
                <w:color w:val="000000"/>
                <w:lang w:eastAsia="cs-CZ"/>
              </w:rPr>
              <w:t xml:space="preserve"> – metodika</w:t>
            </w:r>
          </w:p>
        </w:tc>
        <w:tc>
          <w:tcPr>
            <w:tcW w:w="790" w:type="dxa"/>
            <w:tcBorders>
              <w:top w:val="nil"/>
              <w:left w:val="nil"/>
              <w:bottom w:val="single" w:sz="4" w:space="0" w:color="auto"/>
              <w:right w:val="single" w:sz="4" w:space="0" w:color="auto"/>
            </w:tcBorders>
            <w:shd w:val="clear" w:color="auto" w:fill="auto"/>
            <w:noWrap/>
            <w:vAlign w:val="bottom"/>
            <w:hideMark/>
          </w:tcPr>
          <w:p w14:paraId="2A19A7ED"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3</w:t>
            </w:r>
          </w:p>
        </w:tc>
      </w:tr>
      <w:tr w:rsidR="00AD02DC" w:rsidRPr="00AD02DC" w14:paraId="4D74B861"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BB00E08" w14:textId="7EE995CB" w:rsidR="00AD02DC" w:rsidRPr="00AD02DC" w:rsidRDefault="00AD02DC"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P</w:t>
            </w:r>
            <w:r w:rsidR="000E01F7">
              <w:rPr>
                <w:rFonts w:ascii="Calibri" w:eastAsia="Times New Roman" w:hAnsi="Calibri" w:cs="Calibri"/>
                <w:color w:val="000000"/>
                <w:lang w:eastAsia="cs-CZ"/>
              </w:rPr>
              <w:t xml:space="preserve"> – patent</w:t>
            </w:r>
          </w:p>
        </w:tc>
        <w:tc>
          <w:tcPr>
            <w:tcW w:w="790" w:type="dxa"/>
            <w:tcBorders>
              <w:top w:val="nil"/>
              <w:left w:val="nil"/>
              <w:bottom w:val="single" w:sz="4" w:space="0" w:color="auto"/>
              <w:right w:val="single" w:sz="4" w:space="0" w:color="auto"/>
            </w:tcBorders>
            <w:shd w:val="clear" w:color="auto" w:fill="auto"/>
            <w:noWrap/>
            <w:vAlign w:val="bottom"/>
            <w:hideMark/>
          </w:tcPr>
          <w:p w14:paraId="6C171B06"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7</w:t>
            </w:r>
          </w:p>
        </w:tc>
      </w:tr>
      <w:tr w:rsidR="00AD02DC" w:rsidRPr="00AD02DC" w14:paraId="11224885"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11D23D2E" w14:textId="28B0EA4C" w:rsidR="00AD02DC" w:rsidRPr="00AD02DC" w:rsidRDefault="00AD02DC"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R</w:t>
            </w:r>
            <w:r w:rsidR="000E01F7">
              <w:rPr>
                <w:rFonts w:ascii="Calibri" w:eastAsia="Times New Roman" w:hAnsi="Calibri" w:cs="Calibri"/>
                <w:color w:val="000000"/>
                <w:lang w:eastAsia="cs-CZ"/>
              </w:rPr>
              <w:t xml:space="preserve"> – software</w:t>
            </w:r>
          </w:p>
        </w:tc>
        <w:tc>
          <w:tcPr>
            <w:tcW w:w="790" w:type="dxa"/>
            <w:tcBorders>
              <w:top w:val="nil"/>
              <w:left w:val="nil"/>
              <w:bottom w:val="single" w:sz="4" w:space="0" w:color="auto"/>
              <w:right w:val="single" w:sz="4" w:space="0" w:color="auto"/>
            </w:tcBorders>
            <w:shd w:val="clear" w:color="auto" w:fill="auto"/>
            <w:noWrap/>
            <w:vAlign w:val="bottom"/>
            <w:hideMark/>
          </w:tcPr>
          <w:p w14:paraId="4981BC51"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142</w:t>
            </w:r>
          </w:p>
        </w:tc>
      </w:tr>
      <w:tr w:rsidR="00AD02DC" w:rsidRPr="00AD02DC" w14:paraId="6726A7F9"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6B44C8AA" w14:textId="3A82B4DE" w:rsidR="00AD02DC" w:rsidRPr="00AD02DC" w:rsidRDefault="000E01F7"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Z</w:t>
            </w:r>
            <w:r>
              <w:rPr>
                <w:rFonts w:ascii="Calibri" w:eastAsia="Times New Roman" w:hAnsi="Calibri" w:cs="Calibri"/>
                <w:color w:val="000000"/>
                <w:lang w:eastAsia="cs-CZ"/>
              </w:rPr>
              <w:t xml:space="preserve"> – ověřená</w:t>
            </w:r>
            <w:r w:rsidRPr="000E01F7">
              <w:rPr>
                <w:szCs w:val="28"/>
              </w:rPr>
              <w:t xml:space="preserve"> technologie</w:t>
            </w:r>
            <w:r>
              <w:rPr>
                <w:szCs w:val="28"/>
              </w:rPr>
              <w:t>, poloprovoz</w:t>
            </w:r>
          </w:p>
        </w:tc>
        <w:tc>
          <w:tcPr>
            <w:tcW w:w="790" w:type="dxa"/>
            <w:tcBorders>
              <w:top w:val="nil"/>
              <w:left w:val="nil"/>
              <w:bottom w:val="single" w:sz="4" w:space="0" w:color="auto"/>
              <w:right w:val="single" w:sz="4" w:space="0" w:color="auto"/>
            </w:tcBorders>
            <w:shd w:val="clear" w:color="auto" w:fill="auto"/>
            <w:noWrap/>
            <w:vAlign w:val="bottom"/>
            <w:hideMark/>
          </w:tcPr>
          <w:p w14:paraId="48D3245C" w14:textId="77777777"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186</w:t>
            </w:r>
          </w:p>
        </w:tc>
      </w:tr>
      <w:tr w:rsidR="00AD02DC" w:rsidRPr="00AD02DC" w14:paraId="28843E8C" w14:textId="77777777" w:rsidTr="000E01F7">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5106F165" w14:textId="77777777" w:rsidR="00AD02DC" w:rsidRPr="00AD02DC" w:rsidRDefault="00AD02DC" w:rsidP="00AD02DC">
            <w:pPr>
              <w:spacing w:after="0" w:line="240" w:lineRule="auto"/>
              <w:rPr>
                <w:rFonts w:ascii="Calibri" w:eastAsia="Times New Roman" w:hAnsi="Calibri" w:cs="Calibri"/>
                <w:color w:val="000000"/>
                <w:lang w:eastAsia="cs-CZ"/>
              </w:rPr>
            </w:pPr>
            <w:r w:rsidRPr="00AD02DC">
              <w:rPr>
                <w:rFonts w:ascii="Calibri" w:eastAsia="Times New Roman" w:hAnsi="Calibri" w:cs="Calibri"/>
                <w:color w:val="000000"/>
                <w:lang w:eastAsia="cs-CZ"/>
              </w:rPr>
              <w:t>Celkem</w:t>
            </w:r>
          </w:p>
        </w:tc>
        <w:tc>
          <w:tcPr>
            <w:tcW w:w="790" w:type="dxa"/>
            <w:tcBorders>
              <w:top w:val="nil"/>
              <w:left w:val="nil"/>
              <w:bottom w:val="single" w:sz="4" w:space="0" w:color="auto"/>
              <w:right w:val="single" w:sz="4" w:space="0" w:color="auto"/>
            </w:tcBorders>
            <w:shd w:val="clear" w:color="auto" w:fill="auto"/>
            <w:noWrap/>
            <w:vAlign w:val="bottom"/>
            <w:hideMark/>
          </w:tcPr>
          <w:p w14:paraId="126785CA" w14:textId="5233E565" w:rsidR="00AD02DC" w:rsidRPr="00AD02DC" w:rsidRDefault="00AD02DC" w:rsidP="00AD02DC">
            <w:pPr>
              <w:spacing w:after="0" w:line="240" w:lineRule="auto"/>
              <w:jc w:val="right"/>
              <w:rPr>
                <w:rFonts w:ascii="Calibri" w:eastAsia="Times New Roman" w:hAnsi="Calibri" w:cs="Calibri"/>
                <w:color w:val="000000"/>
                <w:lang w:eastAsia="cs-CZ"/>
              </w:rPr>
            </w:pPr>
            <w:r w:rsidRPr="00AD02DC">
              <w:rPr>
                <w:rFonts w:ascii="Calibri" w:eastAsia="Times New Roman" w:hAnsi="Calibri" w:cs="Calibri"/>
                <w:color w:val="000000"/>
                <w:lang w:eastAsia="cs-CZ"/>
              </w:rPr>
              <w:t>1</w:t>
            </w:r>
            <w:r w:rsidR="00B62838">
              <w:rPr>
                <w:rFonts w:ascii="Calibri" w:eastAsia="Times New Roman" w:hAnsi="Calibri" w:cs="Calibri"/>
                <w:color w:val="000000"/>
                <w:lang w:eastAsia="cs-CZ"/>
              </w:rPr>
              <w:t xml:space="preserve"> </w:t>
            </w:r>
            <w:r w:rsidRPr="00AD02DC">
              <w:rPr>
                <w:rFonts w:ascii="Calibri" w:eastAsia="Times New Roman" w:hAnsi="Calibri" w:cs="Calibri"/>
                <w:color w:val="000000"/>
                <w:lang w:eastAsia="cs-CZ"/>
              </w:rPr>
              <w:t>211</w:t>
            </w:r>
          </w:p>
        </w:tc>
      </w:tr>
    </w:tbl>
    <w:p w14:paraId="572390C4" w14:textId="77777777" w:rsidR="006E4E51" w:rsidRDefault="006E4E51">
      <w:pPr>
        <w:spacing w:after="200" w:line="276" w:lineRule="auto"/>
        <w:rPr>
          <w:rFonts w:asciiTheme="majorHAnsi" w:eastAsiaTheme="majorEastAsia" w:hAnsiTheme="majorHAnsi" w:cstheme="majorBidi"/>
          <w:b/>
          <w:color w:val="004B8D" w:themeColor="text2"/>
          <w:sz w:val="28"/>
          <w:szCs w:val="32"/>
        </w:rPr>
      </w:pPr>
      <w:r>
        <w:br w:type="page"/>
      </w:r>
    </w:p>
    <w:p w14:paraId="69ECD4B7" w14:textId="72FFB730" w:rsidR="00052D03" w:rsidRDefault="00052D03" w:rsidP="00F65956">
      <w:pPr>
        <w:pStyle w:val="Nadpis1"/>
      </w:pPr>
      <w:bookmarkStart w:id="50" w:name="_Toc185334564"/>
      <w:r>
        <w:lastRenderedPageBreak/>
        <w:t>ZÁVĚR</w:t>
      </w:r>
      <w:bookmarkEnd w:id="50"/>
    </w:p>
    <w:p w14:paraId="63DF32FA" w14:textId="77777777" w:rsidR="00A74D72" w:rsidRPr="00AB14A9" w:rsidRDefault="00A74D72" w:rsidP="000E01F7">
      <w:pPr>
        <w:spacing w:after="120"/>
        <w:jc w:val="both"/>
      </w:pPr>
      <w:r w:rsidRPr="00AB14A9">
        <w:t>Z dosavadního průběhu implementace Programu lze dovodit následující závěry:</w:t>
      </w:r>
    </w:p>
    <w:p w14:paraId="04B394BD" w14:textId="77777777" w:rsidR="00A74D72" w:rsidRPr="00AA006B" w:rsidRDefault="00A74D72" w:rsidP="000E01F7">
      <w:pPr>
        <w:spacing w:after="120"/>
        <w:jc w:val="both"/>
      </w:pPr>
      <w:r w:rsidRPr="00AA006B">
        <w:rPr>
          <w:b/>
        </w:rPr>
        <w:t>K veřejným soutěžím</w:t>
      </w:r>
    </w:p>
    <w:p w14:paraId="785DCA0F" w14:textId="368F58B5" w:rsidR="00A74D72" w:rsidRPr="005B3CA6" w:rsidRDefault="00A74D72" w:rsidP="000E01F7">
      <w:pPr>
        <w:pStyle w:val="Odstavecseseznamem"/>
        <w:numPr>
          <w:ilvl w:val="0"/>
          <w:numId w:val="44"/>
        </w:numPr>
        <w:spacing w:after="120"/>
        <w:contextualSpacing w:val="0"/>
        <w:jc w:val="both"/>
        <w:rPr>
          <w:shd w:val="clear" w:color="auto" w:fill="93C47D"/>
        </w:rPr>
      </w:pPr>
      <w:r w:rsidRPr="00B10CE5">
        <w:t>V</w:t>
      </w:r>
      <w:r>
        <w:t> </w:t>
      </w:r>
      <w:r w:rsidRPr="00B10CE5">
        <w:t xml:space="preserve">rámci </w:t>
      </w:r>
      <w:r>
        <w:t>Pr</w:t>
      </w:r>
      <w:r w:rsidRPr="00B10CE5">
        <w:t>ogramu bylo</w:t>
      </w:r>
      <w:r>
        <w:t xml:space="preserve"> v letech 2019 až 2024</w:t>
      </w:r>
      <w:r w:rsidRPr="00B10CE5">
        <w:t xml:space="preserve"> vyhlášeno celkem </w:t>
      </w:r>
      <w:r w:rsidRPr="005B3CA6">
        <w:rPr>
          <w:b/>
          <w:bCs/>
        </w:rPr>
        <w:t>11 veřejných soutěží</w:t>
      </w:r>
      <w:r>
        <w:t xml:space="preserve">, </w:t>
      </w:r>
      <w:r w:rsidR="001E601A">
        <w:t xml:space="preserve">z nichž dosud 10 </w:t>
      </w:r>
      <w:r>
        <w:t>byl</w:t>
      </w:r>
      <w:r w:rsidR="001E601A">
        <w:t>o</w:t>
      </w:r>
      <w:r>
        <w:t xml:space="preserve"> řádně vyhodnocen</w:t>
      </w:r>
      <w:r w:rsidR="001E601A">
        <w:t>o</w:t>
      </w:r>
      <w:r>
        <w:t xml:space="preserve"> a na jejich základě bylo podpořeno </w:t>
      </w:r>
      <w:r w:rsidRPr="005B3CA6">
        <w:rPr>
          <w:b/>
          <w:bCs/>
        </w:rPr>
        <w:t>670 projektů</w:t>
      </w:r>
      <w:r>
        <w:t xml:space="preserve"> dotací ve výši </w:t>
      </w:r>
      <w:r w:rsidRPr="005B3CA6">
        <w:rPr>
          <w:b/>
          <w:bCs/>
        </w:rPr>
        <w:t>10,4 mld. Kč</w:t>
      </w:r>
      <w:r>
        <w:t>.</w:t>
      </w:r>
    </w:p>
    <w:p w14:paraId="411D9284" w14:textId="77777777" w:rsidR="00A74D72" w:rsidRPr="005B3CA6" w:rsidRDefault="00A74D72" w:rsidP="000E01F7">
      <w:pPr>
        <w:pStyle w:val="Odstavecseseznamem"/>
        <w:numPr>
          <w:ilvl w:val="0"/>
          <w:numId w:val="44"/>
        </w:numPr>
        <w:spacing w:after="120"/>
        <w:contextualSpacing w:val="0"/>
        <w:jc w:val="both"/>
        <w:rPr>
          <w:shd w:val="clear" w:color="auto" w:fill="93C47D"/>
        </w:rPr>
      </w:pPr>
      <w:r>
        <w:t>Harmonogram veřejných soutěží byl sestavován podle kapacitních možností TA ČR s ohledem na požadavky MPO a na potřeby Programu.</w:t>
      </w:r>
    </w:p>
    <w:p w14:paraId="268AAF8A" w14:textId="77777777" w:rsidR="00A74D72" w:rsidRPr="00AA006B" w:rsidRDefault="00A74D72" w:rsidP="00F14709">
      <w:pPr>
        <w:pStyle w:val="Odstavecseseznamem"/>
        <w:numPr>
          <w:ilvl w:val="0"/>
          <w:numId w:val="44"/>
        </w:numPr>
        <w:spacing w:after="120"/>
        <w:ind w:hanging="357"/>
        <w:jc w:val="both"/>
        <w:rPr>
          <w:shd w:val="clear" w:color="auto" w:fill="93C47D"/>
        </w:rPr>
      </w:pPr>
      <w:r>
        <w:t>Veřejné soutěže byly co do základních podmínek a rozsahu v zásadě tří druhů:</w:t>
      </w:r>
    </w:p>
    <w:p w14:paraId="317D15F4" w14:textId="77777777" w:rsidR="00A74D72" w:rsidRPr="00AA006B" w:rsidRDefault="00A74D72" w:rsidP="00F14709">
      <w:pPr>
        <w:pStyle w:val="Odstavecseseznamem"/>
        <w:numPr>
          <w:ilvl w:val="1"/>
          <w:numId w:val="44"/>
        </w:numPr>
        <w:spacing w:after="120"/>
        <w:ind w:hanging="357"/>
        <w:jc w:val="both"/>
        <w:rPr>
          <w:shd w:val="clear" w:color="auto" w:fill="93C47D"/>
        </w:rPr>
      </w:pPr>
      <w:r>
        <w:t>standardní veřejné soutěže v </w:t>
      </w:r>
      <w:r w:rsidRPr="005B3CA6">
        <w:rPr>
          <w:b/>
          <w:bCs/>
        </w:rPr>
        <w:t>podprogramu Lídři</w:t>
      </w:r>
      <w:r>
        <w:t>, do kterých bylo podáváno vždy přibližně 400 až 500 návrhů projektů a průměrně cca 150 projektů bylo podpořeno;</w:t>
      </w:r>
    </w:p>
    <w:p w14:paraId="26BFFCCC" w14:textId="77777777" w:rsidR="00A74D72" w:rsidRPr="00AA006B" w:rsidRDefault="00A74D72" w:rsidP="00F14709">
      <w:pPr>
        <w:pStyle w:val="Odstavecseseznamem"/>
        <w:numPr>
          <w:ilvl w:val="1"/>
          <w:numId w:val="44"/>
        </w:numPr>
        <w:spacing w:after="120"/>
        <w:ind w:hanging="357"/>
        <w:jc w:val="both"/>
        <w:rPr>
          <w:shd w:val="clear" w:color="auto" w:fill="93C47D"/>
        </w:rPr>
      </w:pPr>
      <w:r>
        <w:t>standardní veřejné soutěže v </w:t>
      </w:r>
      <w:r w:rsidRPr="005B3CA6">
        <w:rPr>
          <w:b/>
          <w:bCs/>
        </w:rPr>
        <w:t>podprogramu Nováčci</w:t>
      </w:r>
      <w:r>
        <w:t>,</w:t>
      </w:r>
      <w:r w:rsidRPr="00AA006B">
        <w:t xml:space="preserve"> do kterých bylo podáváno vždy př</w:t>
      </w:r>
      <w:r>
        <w:t>es 1</w:t>
      </w:r>
      <w:r w:rsidRPr="00AA006B">
        <w:t xml:space="preserve">00 návrhů projektů a průměrně cca </w:t>
      </w:r>
      <w:r>
        <w:t>20</w:t>
      </w:r>
      <w:r w:rsidRPr="00AA006B">
        <w:t xml:space="preserve"> projektů bylo podpořeno;</w:t>
      </w:r>
    </w:p>
    <w:p w14:paraId="2E51D8B4" w14:textId="77777777" w:rsidR="00A74D72" w:rsidRPr="00AA006B" w:rsidRDefault="00A74D72" w:rsidP="000E01F7">
      <w:pPr>
        <w:pStyle w:val="Odstavecseseznamem"/>
        <w:numPr>
          <w:ilvl w:val="1"/>
          <w:numId w:val="44"/>
        </w:numPr>
        <w:spacing w:after="120"/>
        <w:contextualSpacing w:val="0"/>
        <w:jc w:val="both"/>
        <w:rPr>
          <w:shd w:val="clear" w:color="auto" w:fill="93C47D"/>
        </w:rPr>
      </w:pPr>
      <w:r>
        <w:t xml:space="preserve">specifické veřejné soutěže realizované v rámci </w:t>
      </w:r>
      <w:r w:rsidRPr="005B3CA6">
        <w:rPr>
          <w:b/>
          <w:bCs/>
        </w:rPr>
        <w:t>Národního plánu obnovy</w:t>
      </w:r>
      <w:r>
        <w:t>.</w:t>
      </w:r>
    </w:p>
    <w:p w14:paraId="14F34CE2" w14:textId="77777777" w:rsidR="00A74D72" w:rsidRPr="00F443C0" w:rsidRDefault="00A74D72" w:rsidP="000E01F7">
      <w:pPr>
        <w:pStyle w:val="Odstavecseseznamem"/>
        <w:numPr>
          <w:ilvl w:val="0"/>
          <w:numId w:val="44"/>
        </w:numPr>
        <w:spacing w:after="120"/>
        <w:contextualSpacing w:val="0"/>
        <w:jc w:val="both"/>
        <w:rPr>
          <w:shd w:val="clear" w:color="auto" w:fill="93C47D"/>
        </w:rPr>
      </w:pPr>
      <w:r>
        <w:t>Nastavování parametrů a základních podmínek veřejných soutěží, jakož i h</w:t>
      </w:r>
      <w:r w:rsidRPr="00B10CE5">
        <w:t>odnoticí proces probíhá v</w:t>
      </w:r>
      <w:r>
        <w:t> </w:t>
      </w:r>
      <w:r w:rsidRPr="00B10CE5">
        <w:t xml:space="preserve">úzké spolupráci </w:t>
      </w:r>
      <w:r>
        <w:t>TA ČR a MPO</w:t>
      </w:r>
      <w:r w:rsidRPr="00B10CE5">
        <w:t>. Pravidelně dochází k</w:t>
      </w:r>
      <w:r>
        <w:t> </w:t>
      </w:r>
      <w:r w:rsidRPr="00B10CE5">
        <w:t>aktualizaci a</w:t>
      </w:r>
      <w:r>
        <w:t> </w:t>
      </w:r>
      <w:r w:rsidRPr="00B10CE5">
        <w:t>úpravám hodnoticích kritérií</w:t>
      </w:r>
      <w:r>
        <w:t xml:space="preserve"> na základě aktuálních priorit a zkušeností z hodnocení v předchozích soutěžích.</w:t>
      </w:r>
    </w:p>
    <w:p w14:paraId="54D92542" w14:textId="031038BD" w:rsidR="00A74D72" w:rsidRPr="00F443C0" w:rsidRDefault="00A74D72" w:rsidP="000E01F7">
      <w:pPr>
        <w:pStyle w:val="Odstavecseseznamem"/>
        <w:numPr>
          <w:ilvl w:val="0"/>
          <w:numId w:val="44"/>
        </w:numPr>
        <w:spacing w:after="120"/>
        <w:contextualSpacing w:val="0"/>
        <w:jc w:val="both"/>
        <w:rPr>
          <w:shd w:val="clear" w:color="auto" w:fill="93C47D"/>
        </w:rPr>
      </w:pPr>
      <w:r>
        <w:t>Pro výběr projektů k podpoře jsou uplatňována standardní kritéria zaměřená na způsobilost uchazeče, odbornou kvalitu návrhu projektu a přiměřenost rozpočtu, značný důraz je kladen na uplatnitelnost výsledků v praxi a na míru naplňování strategických dokumentů vlády ČR.</w:t>
      </w:r>
      <w:r w:rsidR="001E601A">
        <w:t xml:space="preserve"> Nutno dodat, že poslední uvedené kritérium klade na všechny stupně hodnocení značné nároky. </w:t>
      </w:r>
    </w:p>
    <w:p w14:paraId="297746CB" w14:textId="77777777" w:rsidR="00A74D72" w:rsidRPr="00F443C0" w:rsidRDefault="00A74D72" w:rsidP="000E01F7">
      <w:pPr>
        <w:pStyle w:val="Odstavecseseznamem"/>
        <w:numPr>
          <w:ilvl w:val="0"/>
          <w:numId w:val="44"/>
        </w:numPr>
        <w:spacing w:after="120"/>
        <w:contextualSpacing w:val="0"/>
        <w:jc w:val="both"/>
        <w:rPr>
          <w:shd w:val="clear" w:color="auto" w:fill="93C47D"/>
        </w:rPr>
      </w:pPr>
      <w:r>
        <w:t>Kvalita hodnoticího procesu je dostatečně kontrolována a korigována na několika úrovních, a to kontrolou oponentních posudků (TA ČR) a souhrnných hodnoticích zpráv (MPO a TA ČR), zpracováváním a vyhodnocováním zpětné vazby od zpravodajů a Rady programu, kvalitním řízením a podporou zasedání Rady programu a dohledem předsednictva TA ČR nad objektivitou celého hodnoticího procesu.</w:t>
      </w:r>
    </w:p>
    <w:p w14:paraId="5FE3B036" w14:textId="77777777" w:rsidR="00A74D72" w:rsidRDefault="00A74D72" w:rsidP="000E01F7">
      <w:pPr>
        <w:spacing w:after="120"/>
        <w:jc w:val="both"/>
        <w:rPr>
          <w:b/>
        </w:rPr>
      </w:pPr>
      <w:r w:rsidRPr="005B3CA6">
        <w:rPr>
          <w:b/>
        </w:rPr>
        <w:t>K finančním parametrům Programu</w:t>
      </w:r>
    </w:p>
    <w:p w14:paraId="3CEBF8FC" w14:textId="77777777" w:rsidR="00A74D72" w:rsidRPr="00BC56C2" w:rsidRDefault="00A74D72" w:rsidP="000E01F7">
      <w:pPr>
        <w:pStyle w:val="Odstavecseseznamem"/>
        <w:numPr>
          <w:ilvl w:val="0"/>
          <w:numId w:val="45"/>
        </w:numPr>
        <w:spacing w:after="120"/>
        <w:contextualSpacing w:val="0"/>
        <w:jc w:val="both"/>
        <w:rPr>
          <w:b/>
        </w:rPr>
      </w:pPr>
      <w:r>
        <w:t>V prvních dvou letech realizace Programu jeho výdaje významně překročily plán, což bylo zapříčiněno navýšením alokace první veřejné soutěže o 1 mld. Kč. V dalších letech již výdaje přibližně odpovídají plánu.</w:t>
      </w:r>
    </w:p>
    <w:p w14:paraId="43BBAE91" w14:textId="41ECDD3E" w:rsidR="00A74D72" w:rsidRPr="000E01F7" w:rsidRDefault="00A74D72" w:rsidP="000E01F7">
      <w:pPr>
        <w:pStyle w:val="Odstavecseseznamem"/>
        <w:numPr>
          <w:ilvl w:val="0"/>
          <w:numId w:val="45"/>
        </w:numPr>
        <w:spacing w:after="120"/>
        <w:contextualSpacing w:val="0"/>
        <w:jc w:val="both"/>
        <w:rPr>
          <w:b/>
        </w:rPr>
      </w:pPr>
      <w:r>
        <w:t xml:space="preserve">Zdroje pro financování Programu byly </w:t>
      </w:r>
      <w:r w:rsidRPr="005B3CA6">
        <w:t>výrazně ovlivněny faktem, že se jednalo o první „rezortní program“ implementovaný TA ČR, pro který se teprve postupně hledal</w:t>
      </w:r>
      <w:r>
        <w:t xml:space="preserve"> (a v některých ohledech stále hledá)</w:t>
      </w:r>
      <w:r w:rsidRPr="005B3CA6">
        <w:t xml:space="preserve"> </w:t>
      </w:r>
      <w:r w:rsidRPr="000E01F7">
        <w:t>formát konstrukce rozpočtu, odpovědnosti za jeho výši a jeho oddělené sledování v rámci rozpočtu TA ČR. Problémem je přitom jak standardní proces přípravy rozpočtu na výzkum, vývoj a inovace, který u rezortních programů stále neprobíhá zcela podle pravidel</w:t>
      </w:r>
      <w:r w:rsidR="001E601A" w:rsidRPr="001E601A">
        <w:t xml:space="preserve"> </w:t>
      </w:r>
      <w:r w:rsidR="001E601A" w:rsidRPr="000E01F7">
        <w:t>dohodnutých</w:t>
      </w:r>
      <w:r w:rsidR="001E601A">
        <w:t xml:space="preserve"> s Úřadem vlády / Radou pro výzkum, vývoj a inovace (není od počátku projednáván za účasti TA ČR i rezortu, ale odděleně)</w:t>
      </w:r>
      <w:r w:rsidRPr="000E01F7">
        <w:t xml:space="preserve">, tak nenadálé a nezdůvodněné zásahy do rozpočtových kapitol v procesu schvalování státního rozpočtu jako takového. V tu chvíli je </w:t>
      </w:r>
      <w:r w:rsidRPr="001E601A">
        <w:rPr>
          <w:b/>
          <w:bCs/>
        </w:rPr>
        <w:t>odpovědnost rezortu za program financovaný z jiné rozpočtové kapitoly fakticky nerealizovatelná</w:t>
      </w:r>
      <w:r w:rsidRPr="000E01F7">
        <w:t xml:space="preserve">. </w:t>
      </w:r>
    </w:p>
    <w:p w14:paraId="1224D469" w14:textId="02561407" w:rsidR="00A74D72" w:rsidRPr="00601B61" w:rsidRDefault="00A74D72" w:rsidP="000E01F7">
      <w:pPr>
        <w:pStyle w:val="Odstavecseseznamem"/>
        <w:numPr>
          <w:ilvl w:val="0"/>
          <w:numId w:val="45"/>
        </w:numPr>
        <w:spacing w:after="120"/>
        <w:contextualSpacing w:val="0"/>
        <w:jc w:val="both"/>
        <w:rPr>
          <w:b/>
        </w:rPr>
      </w:pPr>
      <w:r>
        <w:lastRenderedPageBreak/>
        <w:t>R</w:t>
      </w:r>
      <w:r w:rsidRPr="005B3CA6">
        <w:t xml:space="preserve">ozpočet </w:t>
      </w:r>
      <w:r w:rsidR="00F72B3A">
        <w:t>P</w:t>
      </w:r>
      <w:r w:rsidRPr="005B3CA6">
        <w:t>rogramu</w:t>
      </w:r>
      <w:r>
        <w:t xml:space="preserve"> byl významně kryt z</w:t>
      </w:r>
      <w:r w:rsidRPr="005B3CA6">
        <w:t xml:space="preserve"> nárok</w:t>
      </w:r>
      <w:r>
        <w:t>ů</w:t>
      </w:r>
      <w:r w:rsidRPr="005B3CA6">
        <w:t xml:space="preserve"> z nespotřebovaných výdajů</w:t>
      </w:r>
      <w:r>
        <w:t xml:space="preserve"> TA ČR</w:t>
      </w:r>
      <w:r w:rsidRPr="005B3CA6">
        <w:t xml:space="preserve"> </w:t>
      </w:r>
      <w:r>
        <w:t>a</w:t>
      </w:r>
      <w:r w:rsidRPr="005B3CA6">
        <w:t xml:space="preserve"> posilován převody z rozpočtové kapitoly MPO do rozpočtu TA ČR.</w:t>
      </w:r>
    </w:p>
    <w:p w14:paraId="29F56A8E" w14:textId="77777777" w:rsidR="00A74D72" w:rsidRPr="00601B61" w:rsidRDefault="00A74D72" w:rsidP="000E01F7">
      <w:pPr>
        <w:pStyle w:val="Odstavecseseznamem"/>
        <w:numPr>
          <w:ilvl w:val="0"/>
          <w:numId w:val="45"/>
        </w:numPr>
        <w:spacing w:after="120"/>
        <w:contextualSpacing w:val="0"/>
        <w:jc w:val="both"/>
        <w:rPr>
          <w:b/>
        </w:rPr>
      </w:pPr>
      <w:r>
        <w:t>Celková finanční alokace Programu bude po vyhodnocení dosud poslední 12. veřejné soutěže významně překročena, nicméně stane se tak zahrnutím zdrojů Národního plánu obnovy, nikoli navýšením zdrojů ze státního rozpočtu.</w:t>
      </w:r>
    </w:p>
    <w:p w14:paraId="47059C15" w14:textId="77777777" w:rsidR="00A74D72" w:rsidRPr="00BC56C2" w:rsidRDefault="00A74D72" w:rsidP="000E01F7">
      <w:pPr>
        <w:spacing w:after="120"/>
        <w:jc w:val="both"/>
        <w:rPr>
          <w:b/>
        </w:rPr>
      </w:pPr>
      <w:r w:rsidRPr="00BC56C2">
        <w:rPr>
          <w:b/>
        </w:rPr>
        <w:t>Ke změnám</w:t>
      </w:r>
    </w:p>
    <w:p w14:paraId="3D41AAF2" w14:textId="77777777" w:rsidR="00A74D72" w:rsidRPr="000E01F7" w:rsidRDefault="00A74D72" w:rsidP="000E01F7">
      <w:pPr>
        <w:pStyle w:val="Odstavecseseznamem"/>
        <w:numPr>
          <w:ilvl w:val="0"/>
          <w:numId w:val="45"/>
        </w:numPr>
        <w:spacing w:after="120"/>
        <w:contextualSpacing w:val="0"/>
        <w:jc w:val="both"/>
      </w:pPr>
      <w:r w:rsidRPr="00B10CE5">
        <w:t>Program nebyl ve svém průběhu měněn, a</w:t>
      </w:r>
      <w:r>
        <w:t> </w:t>
      </w:r>
      <w:r w:rsidRPr="00B10CE5">
        <w:t>to ani s</w:t>
      </w:r>
      <w:r>
        <w:t> </w:t>
      </w:r>
      <w:r w:rsidRPr="00B10CE5">
        <w:t>ohledem na realizaci Národního plánu obnovy.</w:t>
      </w:r>
      <w:r>
        <w:t xml:space="preserve"> V té souvislost</w:t>
      </w:r>
      <w:r w:rsidRPr="000E01F7">
        <w:t>i byly jen doplněny některé podmínky v předmětných veřejných soutěžích, resp. doplněny vnitřní předpisy poskytovatele podpory.</w:t>
      </w:r>
    </w:p>
    <w:p w14:paraId="1B47CD2C" w14:textId="61BD939D" w:rsidR="00A74D72" w:rsidRPr="000E01F7" w:rsidRDefault="00A74D72" w:rsidP="000E01F7">
      <w:pPr>
        <w:pStyle w:val="Odstavecseseznamem"/>
        <w:numPr>
          <w:ilvl w:val="0"/>
          <w:numId w:val="45"/>
        </w:numPr>
        <w:spacing w:after="120"/>
        <w:contextualSpacing w:val="0"/>
        <w:jc w:val="both"/>
      </w:pPr>
      <w:r w:rsidRPr="000E01F7">
        <w:t xml:space="preserve">Na základě vysokého zájmu o podprogram Nováčci, jeho kladného přijetí u uchazečů i v rámci systému VaVaI v ČR, a následného navýšení alokace veřejných soutěží, bude však nutné předložit </w:t>
      </w:r>
      <w:r w:rsidRPr="000E01F7">
        <w:rPr>
          <w:b/>
          <w:bCs/>
        </w:rPr>
        <w:t>návrh změny Programu, neboť má MPO v úmyslu překročit plánovaný rozpočet Podprogramu 2 „Nováčci“ o více než 20 %</w:t>
      </w:r>
      <w:r w:rsidRPr="000E01F7">
        <w:t xml:space="preserve"> (z 600 mil. Kč na více než 800 mil. Kč)</w:t>
      </w:r>
      <w:r w:rsidR="00F14709">
        <w:t xml:space="preserve"> a pravděpodobně bude o více než 20 % překročen i rozpočet celého Programu.</w:t>
      </w:r>
    </w:p>
    <w:p w14:paraId="2C96E0DC" w14:textId="77777777" w:rsidR="00A74D72" w:rsidRPr="004463E7" w:rsidRDefault="00A74D72" w:rsidP="000E01F7">
      <w:pPr>
        <w:spacing w:after="120"/>
        <w:jc w:val="both"/>
        <w:rPr>
          <w:b/>
        </w:rPr>
      </w:pPr>
      <w:r w:rsidRPr="004463E7">
        <w:rPr>
          <w:b/>
        </w:rPr>
        <w:t>K plnění cílů Programu</w:t>
      </w:r>
    </w:p>
    <w:p w14:paraId="333D2387" w14:textId="6E5F7BC6" w:rsidR="00A74D72" w:rsidRDefault="00A74D72" w:rsidP="000E01F7">
      <w:pPr>
        <w:pStyle w:val="Odstavecseseznamem"/>
        <w:numPr>
          <w:ilvl w:val="0"/>
          <w:numId w:val="46"/>
        </w:numPr>
        <w:spacing w:after="120"/>
        <w:contextualSpacing w:val="0"/>
        <w:jc w:val="both"/>
      </w:pPr>
      <w:r w:rsidRPr="004463E7">
        <w:t xml:space="preserve">Program bezesporu úspěšně směřuje ke splnění dílčích cílů, které jsou zaměřeny na </w:t>
      </w:r>
      <w:r w:rsidRPr="00DC5BCF">
        <w:rPr>
          <w:b/>
          <w:bCs/>
        </w:rPr>
        <w:t>preferované obory a oblasti identifikované v relevantních koncepčních dokumentech a strategiích</w:t>
      </w:r>
      <w:r>
        <w:t xml:space="preserve">. Jednotlivé projekty jsou především zaměřeny do požadovaných oblastí Národní RIS3 strategie, </w:t>
      </w:r>
      <w:r w:rsidR="00F14709">
        <w:t xml:space="preserve">reflektují </w:t>
      </w:r>
      <w:r w:rsidRPr="00DC5BCF">
        <w:t>princip</w:t>
      </w:r>
      <w:r w:rsidR="00F14709">
        <w:t>y</w:t>
      </w:r>
      <w:r w:rsidRPr="00DC5BCF">
        <w:t xml:space="preserve"> iniciativy Průmysl 4.0.</w:t>
      </w:r>
      <w:r>
        <w:t xml:space="preserve"> a rozvíjejí prioritní témata zaměřená na digitalizaci, umělou inteligenci, automotive, oběhové hospodářství a řadu dalších odvětvových i průřezových priorit.</w:t>
      </w:r>
    </w:p>
    <w:p w14:paraId="4B88B015" w14:textId="77777777" w:rsidR="00A74D72" w:rsidRDefault="00A74D72" w:rsidP="000E01F7">
      <w:pPr>
        <w:pStyle w:val="Odstavecseseznamem"/>
        <w:numPr>
          <w:ilvl w:val="0"/>
          <w:numId w:val="46"/>
        </w:numPr>
        <w:spacing w:after="120"/>
        <w:contextualSpacing w:val="0"/>
        <w:jc w:val="both"/>
      </w:pPr>
      <w:r w:rsidRPr="004463E7">
        <w:t xml:space="preserve">Program dále </w:t>
      </w:r>
      <w:r>
        <w:t xml:space="preserve">jednoznačně </w:t>
      </w:r>
      <w:r w:rsidRPr="004463E7">
        <w:t>přispívá k </w:t>
      </w:r>
      <w:r w:rsidRPr="00DC5BCF">
        <w:rPr>
          <w:b/>
          <w:bCs/>
        </w:rPr>
        <w:t>posílení účinné spolupráce ve výzkumu a vývoji mezi podniky a výzkumnými organizacemi</w:t>
      </w:r>
      <w:r>
        <w:t>, ke které dochází v drtivé většině podpořených projektů.</w:t>
      </w:r>
    </w:p>
    <w:p w14:paraId="55D7FEC1" w14:textId="77777777" w:rsidR="00A74D72" w:rsidRDefault="00A74D72" w:rsidP="000E01F7">
      <w:pPr>
        <w:pStyle w:val="Odstavecseseznamem"/>
        <w:numPr>
          <w:ilvl w:val="0"/>
          <w:numId w:val="46"/>
        </w:numPr>
        <w:spacing w:after="120"/>
        <w:contextualSpacing w:val="0"/>
        <w:jc w:val="both"/>
      </w:pPr>
      <w:r>
        <w:t xml:space="preserve">S ohledem na úspěšnost podprogramu Nováčci Program také bezesporu přispěje ke </w:t>
      </w:r>
      <w:r w:rsidRPr="00DC5BCF">
        <w:rPr>
          <w:b/>
          <w:bCs/>
        </w:rPr>
        <w:t>zvýšení počtu podniků provádějících vlastní výzkumné a vývojové aktivity</w:t>
      </w:r>
      <w:r w:rsidRPr="00DC5BCF">
        <w:t xml:space="preserve"> a </w:t>
      </w:r>
      <w:r>
        <w:t xml:space="preserve">k </w:t>
      </w:r>
      <w:r w:rsidRPr="00DC5BCF">
        <w:t>jejich zapojení do realizace kolaborativního výzkumu</w:t>
      </w:r>
      <w:r>
        <w:t>.</w:t>
      </w:r>
    </w:p>
    <w:p w14:paraId="5A5505E2" w14:textId="77777777" w:rsidR="00A74D72" w:rsidRDefault="00A74D72" w:rsidP="000E01F7">
      <w:pPr>
        <w:pStyle w:val="Odstavecseseznamem"/>
        <w:numPr>
          <w:ilvl w:val="0"/>
          <w:numId w:val="46"/>
        </w:numPr>
        <w:spacing w:after="120"/>
        <w:contextualSpacing w:val="0"/>
        <w:jc w:val="both"/>
      </w:pPr>
      <w:r w:rsidRPr="004463E7">
        <w:t xml:space="preserve">Struktura koordinátorů projektů i dalších účastníků podílejících se na jejich řešení ukazuje na převahu </w:t>
      </w:r>
      <w:r w:rsidRPr="00DC5BCF">
        <w:rPr>
          <w:b/>
          <w:bCs/>
        </w:rPr>
        <w:t>malých a středních podniků</w:t>
      </w:r>
      <w:r>
        <w:t>, což je rovněž zcela v souladu se strategiemi v oblasti VaVaI.</w:t>
      </w:r>
    </w:p>
    <w:p w14:paraId="0ACF8BCB" w14:textId="77777777" w:rsidR="00A74D72" w:rsidRPr="004463E7" w:rsidRDefault="00A74D72" w:rsidP="000E01F7">
      <w:pPr>
        <w:pStyle w:val="Odstavecseseznamem"/>
        <w:numPr>
          <w:ilvl w:val="0"/>
          <w:numId w:val="46"/>
        </w:numPr>
        <w:spacing w:after="120"/>
        <w:contextualSpacing w:val="0"/>
        <w:jc w:val="both"/>
      </w:pPr>
      <w:r w:rsidRPr="004463E7">
        <w:t xml:space="preserve">Z hlediska indikátorů je zjevné, že indikátor počtu podpořených projektů je </w:t>
      </w:r>
      <w:r>
        <w:t xml:space="preserve">v obou podprogramech </w:t>
      </w:r>
      <w:r w:rsidRPr="004463E7">
        <w:t>naplněn</w:t>
      </w:r>
      <w:r>
        <w:t xml:space="preserve">. Naplněn je také indikátor </w:t>
      </w:r>
      <w:r w:rsidRPr="004463E7">
        <w:t>počt</w:t>
      </w:r>
      <w:r>
        <w:t>u</w:t>
      </w:r>
      <w:r w:rsidRPr="004463E7">
        <w:t xml:space="preserve"> plánovaných aplikovaných výsledků.</w:t>
      </w:r>
      <w:r>
        <w:t xml:space="preserve"> Odlišně od plánu jsou naplňovány indikátory jednotlivých druhů příjemců podpory, kde bude významně překročen počet malých podniků, zřejmě částečně na úkor podniků středních a zejména velkých. Tato změna je však hodnocena jako jednoznačně žádoucí.</w:t>
      </w:r>
    </w:p>
    <w:p w14:paraId="5732924F" w14:textId="77777777" w:rsidR="00A74D72" w:rsidRPr="006E4E51" w:rsidRDefault="00A74D72" w:rsidP="000E01F7">
      <w:pPr>
        <w:spacing w:after="120"/>
        <w:jc w:val="both"/>
        <w:rPr>
          <w:b/>
          <w:bCs/>
        </w:rPr>
      </w:pPr>
      <w:r w:rsidRPr="006E4E51">
        <w:rPr>
          <w:b/>
          <w:bCs/>
        </w:rPr>
        <w:t>K realizaci Programu obecně</w:t>
      </w:r>
    </w:p>
    <w:p w14:paraId="4A23B6F1" w14:textId="77777777" w:rsidR="00A74D72" w:rsidRPr="006E4E51" w:rsidRDefault="00A74D72" w:rsidP="000E01F7">
      <w:pPr>
        <w:pStyle w:val="Odstavecseseznamem"/>
        <w:numPr>
          <w:ilvl w:val="0"/>
          <w:numId w:val="44"/>
        </w:numPr>
        <w:spacing w:after="120"/>
        <w:contextualSpacing w:val="0"/>
        <w:jc w:val="both"/>
        <w:rPr>
          <w:b/>
          <w:bCs/>
        </w:rPr>
      </w:pPr>
      <w:r w:rsidRPr="006E4E51">
        <w:rPr>
          <w:b/>
          <w:bCs/>
        </w:rPr>
        <w:t>Dosavadní realizaci Programu lze z výše uvedených důvodů považovat celkově za úspěšnou, Program průběžně plní stanovené cíle a je reálný předpoklad jejich skutečného dosažení.</w:t>
      </w:r>
    </w:p>
    <w:p w14:paraId="572E1803" w14:textId="77777777" w:rsidR="00A74D72" w:rsidRPr="006E4E51" w:rsidRDefault="00A74D72" w:rsidP="000E01F7">
      <w:pPr>
        <w:pStyle w:val="Odstavecseseznamem"/>
        <w:numPr>
          <w:ilvl w:val="0"/>
          <w:numId w:val="44"/>
        </w:numPr>
        <w:spacing w:after="120"/>
        <w:contextualSpacing w:val="0"/>
        <w:jc w:val="both"/>
        <w:rPr>
          <w:b/>
          <w:bCs/>
          <w:shd w:val="clear" w:color="auto" w:fill="93C47D"/>
        </w:rPr>
      </w:pPr>
      <w:r w:rsidRPr="006E4E51">
        <w:rPr>
          <w:b/>
          <w:bCs/>
        </w:rPr>
        <w:t>Realizace programu TREND probíhá v souladu s usnesením vlády, kterým byl schválen, v souladu s relevantními strategickými dokumenty vlády ČR a také v souladu s předpisy.</w:t>
      </w:r>
    </w:p>
    <w:p w14:paraId="1E5C0A7A" w14:textId="287F6C53" w:rsidR="00A74D72" w:rsidRPr="006E4E51" w:rsidRDefault="00A74D72" w:rsidP="000E01F7">
      <w:pPr>
        <w:pStyle w:val="Odstavecseseznamem"/>
        <w:numPr>
          <w:ilvl w:val="0"/>
          <w:numId w:val="44"/>
        </w:numPr>
        <w:spacing w:after="120"/>
        <w:contextualSpacing w:val="0"/>
        <w:jc w:val="both"/>
        <w:rPr>
          <w:b/>
          <w:bCs/>
          <w:shd w:val="clear" w:color="auto" w:fill="93C47D"/>
        </w:rPr>
      </w:pPr>
      <w:r w:rsidRPr="006E4E51">
        <w:rPr>
          <w:b/>
          <w:bCs/>
        </w:rPr>
        <w:t>Program je realizován v souladu s požadavky MPO jako věcného gestora a </w:t>
      </w:r>
      <w:r w:rsidR="00F14709">
        <w:rPr>
          <w:b/>
          <w:bCs/>
        </w:rPr>
        <w:t>v souladu s</w:t>
      </w:r>
      <w:r w:rsidRPr="006E4E51">
        <w:rPr>
          <w:b/>
          <w:bCs/>
        </w:rPr>
        <w:t xml:space="preserve"> vnitřní</w:t>
      </w:r>
      <w:r w:rsidR="00F14709">
        <w:rPr>
          <w:b/>
          <w:bCs/>
        </w:rPr>
        <w:t>mi</w:t>
      </w:r>
      <w:r w:rsidRPr="006E4E51">
        <w:rPr>
          <w:b/>
          <w:bCs/>
        </w:rPr>
        <w:t xml:space="preserve"> předpis</w:t>
      </w:r>
      <w:r w:rsidR="00F14709">
        <w:rPr>
          <w:b/>
          <w:bCs/>
        </w:rPr>
        <w:t>y</w:t>
      </w:r>
      <w:r w:rsidRPr="006E4E51">
        <w:rPr>
          <w:b/>
          <w:bCs/>
        </w:rPr>
        <w:t xml:space="preserve"> poskytovatele. </w:t>
      </w:r>
    </w:p>
    <w:p w14:paraId="4C0AA690" w14:textId="77777777" w:rsidR="00A74D72" w:rsidRDefault="00A74D72" w:rsidP="00A74D72">
      <w:pPr>
        <w:pStyle w:val="Nadpis1"/>
      </w:pPr>
      <w:bookmarkStart w:id="51" w:name="_Toc185334565"/>
      <w:r>
        <w:lastRenderedPageBreak/>
        <w:t>SEZNAMY</w:t>
      </w:r>
      <w:bookmarkEnd w:id="51"/>
    </w:p>
    <w:p w14:paraId="4FA4BDA6" w14:textId="34DC56F6" w:rsidR="00A74D72" w:rsidRDefault="00A74D72" w:rsidP="00A74D72">
      <w:pPr>
        <w:pStyle w:val="Nadpis2"/>
      </w:pPr>
      <w:bookmarkStart w:id="52" w:name="_Toc185334566"/>
      <w:r>
        <w:t>Seznam použitých zkratek</w:t>
      </w:r>
      <w:r w:rsidR="002E1B59">
        <w:t xml:space="preserve"> a pojmů</w:t>
      </w:r>
      <w:bookmarkEnd w:id="52"/>
    </w:p>
    <w:p w14:paraId="1C61854B" w14:textId="1925BD52" w:rsidR="002A2CC3" w:rsidRDefault="002A2CC3" w:rsidP="00557157">
      <w:pPr>
        <w:tabs>
          <w:tab w:val="left" w:leader="dot" w:pos="2835"/>
        </w:tabs>
        <w:spacing w:after="0" w:line="276" w:lineRule="auto"/>
        <w:jc w:val="both"/>
      </w:pPr>
      <w:bookmarkStart w:id="53" w:name="_Hlk185233378"/>
      <w:r>
        <w:t>AV ČR</w:t>
      </w:r>
      <w:r>
        <w:tab/>
        <w:t>Akademie věd České republiky</w:t>
      </w:r>
    </w:p>
    <w:p w14:paraId="5051C7BB" w14:textId="215AD8D7" w:rsidR="000E1FA4" w:rsidRDefault="000E1FA4" w:rsidP="00557157">
      <w:pPr>
        <w:tabs>
          <w:tab w:val="left" w:leader="dot" w:pos="2835"/>
        </w:tabs>
        <w:spacing w:after="0" w:line="276" w:lineRule="auto"/>
        <w:jc w:val="both"/>
      </w:pPr>
      <w:r>
        <w:t>CEP ……………………</w:t>
      </w:r>
      <w:r w:rsidR="00557157">
        <w:tab/>
      </w:r>
      <w:r>
        <w:t>Centrální evidence projektů</w:t>
      </w:r>
    </w:p>
    <w:p w14:paraId="21DF8747" w14:textId="2666E60E" w:rsidR="00557157" w:rsidRDefault="00557157" w:rsidP="00557157">
      <w:pPr>
        <w:tabs>
          <w:tab w:val="left" w:leader="dot" w:pos="2835"/>
        </w:tabs>
        <w:spacing w:after="0" w:line="276" w:lineRule="auto"/>
        <w:jc w:val="both"/>
      </w:pPr>
      <w:r>
        <w:t>DNSH</w:t>
      </w:r>
      <w:r>
        <w:tab/>
        <w:t>Do No Significant Harm = zásada „významně nepoškozovat“</w:t>
      </w:r>
    </w:p>
    <w:p w14:paraId="6C6824DA" w14:textId="50E4D664" w:rsidR="000E1FA4" w:rsidRDefault="000E1FA4" w:rsidP="00557157">
      <w:pPr>
        <w:tabs>
          <w:tab w:val="left" w:leader="dot" w:pos="2835"/>
        </w:tabs>
        <w:spacing w:after="0" w:line="276" w:lineRule="auto"/>
        <w:jc w:val="both"/>
      </w:pPr>
      <w:r>
        <w:t>ISTA ………………………………………</w:t>
      </w:r>
      <w:r w:rsidR="00557157">
        <w:tab/>
      </w:r>
      <w:r w:rsidR="007B64D1">
        <w:t>I</w:t>
      </w:r>
      <w:r w:rsidRPr="001108BC">
        <w:t>nformační systém TA ČR</w:t>
      </w:r>
      <w:r>
        <w:t xml:space="preserve"> </w:t>
      </w:r>
    </w:p>
    <w:p w14:paraId="6BCA2C31" w14:textId="74F17949" w:rsidR="007B64D1" w:rsidRDefault="007B64D1" w:rsidP="00557157">
      <w:pPr>
        <w:tabs>
          <w:tab w:val="left" w:leader="dot" w:pos="2835"/>
        </w:tabs>
        <w:spacing w:after="0" w:line="276" w:lineRule="auto"/>
        <w:jc w:val="both"/>
      </w:pPr>
      <w:r>
        <w:t>IS VaVaI ……………….</w:t>
      </w:r>
      <w:r w:rsidR="00557157">
        <w:tab/>
      </w:r>
      <w:r w:rsidRPr="009328FD">
        <w:rPr>
          <w:rFonts w:asciiTheme="majorHAnsi" w:hAnsiTheme="majorHAnsi"/>
          <w:szCs w:val="24"/>
        </w:rPr>
        <w:t>Informační systém výzkumu, vývoje a</w:t>
      </w:r>
      <w:r>
        <w:rPr>
          <w:rFonts w:asciiTheme="majorHAnsi" w:hAnsiTheme="majorHAnsi"/>
          <w:szCs w:val="24"/>
        </w:rPr>
        <w:t> </w:t>
      </w:r>
      <w:r w:rsidRPr="009328FD">
        <w:rPr>
          <w:rFonts w:asciiTheme="majorHAnsi" w:hAnsiTheme="majorHAnsi"/>
          <w:szCs w:val="24"/>
        </w:rPr>
        <w:t>inovací</w:t>
      </w:r>
    </w:p>
    <w:p w14:paraId="1B31A30D" w14:textId="1C297876" w:rsidR="000E1FA4" w:rsidRDefault="000E1FA4" w:rsidP="00557157">
      <w:pPr>
        <w:tabs>
          <w:tab w:val="left" w:leader="dot" w:pos="2835"/>
        </w:tabs>
        <w:spacing w:after="0" w:line="276" w:lineRule="auto"/>
        <w:jc w:val="both"/>
      </w:pPr>
      <w:r>
        <w:t>Lídři ………………………………………</w:t>
      </w:r>
      <w:r w:rsidR="00557157">
        <w:tab/>
      </w:r>
      <w:r>
        <w:t>Podprogram 1</w:t>
      </w:r>
      <w:r w:rsidR="00557157">
        <w:t xml:space="preserve"> programu TREND „Technologičtí lídři“</w:t>
      </w:r>
    </w:p>
    <w:p w14:paraId="5A48E165" w14:textId="3209C949" w:rsidR="000E1FA4" w:rsidRDefault="000E1FA4" w:rsidP="00557157">
      <w:pPr>
        <w:tabs>
          <w:tab w:val="left" w:leader="dot" w:pos="2835"/>
        </w:tabs>
        <w:spacing w:after="0" w:line="276" w:lineRule="auto"/>
        <w:jc w:val="both"/>
      </w:pPr>
      <w:r>
        <w:t>MP …………………………………</w:t>
      </w:r>
      <w:r w:rsidR="00557157">
        <w:tab/>
      </w:r>
      <w:r>
        <w:t>malý podnik</w:t>
      </w:r>
    </w:p>
    <w:p w14:paraId="38FBB7F5" w14:textId="41C5E57A" w:rsidR="000E1FA4" w:rsidRDefault="000E1FA4" w:rsidP="00557157">
      <w:pPr>
        <w:tabs>
          <w:tab w:val="left" w:leader="dot" w:pos="2835"/>
        </w:tabs>
        <w:spacing w:after="0" w:line="276" w:lineRule="auto"/>
        <w:jc w:val="both"/>
        <w:rPr>
          <w:rFonts w:cs="Arial"/>
        </w:rPr>
      </w:pPr>
      <w:r>
        <w:t>MPO ………………………………</w:t>
      </w:r>
      <w:r w:rsidR="00557157">
        <w:tab/>
      </w:r>
      <w:r>
        <w:t>Ministerstvo průmyslu a obchodu</w:t>
      </w:r>
      <w:r w:rsidRPr="005062F9">
        <w:rPr>
          <w:rFonts w:cs="Arial"/>
        </w:rPr>
        <w:t xml:space="preserve"> </w:t>
      </w:r>
    </w:p>
    <w:p w14:paraId="2BCD0ACC" w14:textId="562694DB" w:rsidR="000E1FA4" w:rsidRDefault="000E1FA4" w:rsidP="00557157">
      <w:pPr>
        <w:tabs>
          <w:tab w:val="left" w:leader="dot" w:pos="2835"/>
        </w:tabs>
        <w:spacing w:after="0" w:line="276" w:lineRule="auto"/>
        <w:jc w:val="both"/>
        <w:rPr>
          <w:rFonts w:cs="Arial"/>
        </w:rPr>
      </w:pPr>
      <w:r w:rsidRPr="00972867">
        <w:rPr>
          <w:rFonts w:cs="Arial"/>
        </w:rPr>
        <w:t>Národní RIS3 strategie</w:t>
      </w:r>
      <w:r>
        <w:rPr>
          <w:rFonts w:cs="Arial"/>
        </w:rPr>
        <w:t> ………</w:t>
      </w:r>
      <w:r w:rsidR="00557157">
        <w:rPr>
          <w:rFonts w:cs="Arial"/>
        </w:rPr>
        <w:tab/>
      </w:r>
      <w:r w:rsidRPr="00672FDF">
        <w:rPr>
          <w:rFonts w:cs="Arial"/>
        </w:rPr>
        <w:t>Národní výzkumn</w:t>
      </w:r>
      <w:r>
        <w:rPr>
          <w:rFonts w:cs="Arial"/>
        </w:rPr>
        <w:t>á</w:t>
      </w:r>
      <w:r w:rsidRPr="00672FDF">
        <w:rPr>
          <w:rFonts w:cs="Arial"/>
        </w:rPr>
        <w:t xml:space="preserve"> a inovační strategi</w:t>
      </w:r>
      <w:r>
        <w:rPr>
          <w:rFonts w:cs="Arial"/>
        </w:rPr>
        <w:t>e</w:t>
      </w:r>
      <w:r w:rsidRPr="00672FDF">
        <w:rPr>
          <w:rFonts w:cs="Arial"/>
        </w:rPr>
        <w:t xml:space="preserve"> pro inteligentní specializaci České </w:t>
      </w:r>
    </w:p>
    <w:p w14:paraId="7423F0F3" w14:textId="2129820F" w:rsidR="000E1FA4" w:rsidRPr="00672FDF" w:rsidRDefault="000E1FA4" w:rsidP="00557157">
      <w:pPr>
        <w:tabs>
          <w:tab w:val="left" w:leader="dot" w:pos="2835"/>
        </w:tabs>
        <w:spacing w:after="0" w:line="276" w:lineRule="auto"/>
        <w:jc w:val="both"/>
        <w:rPr>
          <w:rFonts w:cs="Arial"/>
        </w:rPr>
      </w:pPr>
      <w:r>
        <w:rPr>
          <w:rFonts w:cs="Arial"/>
        </w:rPr>
        <w:t xml:space="preserve">                                                         </w:t>
      </w:r>
      <w:r w:rsidRPr="00672FDF">
        <w:rPr>
          <w:rFonts w:cs="Arial"/>
        </w:rPr>
        <w:t>republiky 2021–202</w:t>
      </w:r>
      <w:r>
        <w:rPr>
          <w:rFonts w:cs="Arial"/>
        </w:rPr>
        <w:t>7</w:t>
      </w:r>
    </w:p>
    <w:p w14:paraId="2CB5FABF" w14:textId="3E32B491" w:rsidR="000E1FA4" w:rsidRDefault="000E1FA4" w:rsidP="00005AFB">
      <w:pPr>
        <w:tabs>
          <w:tab w:val="left" w:leader="dot" w:pos="2835"/>
        </w:tabs>
        <w:spacing w:after="0" w:line="276" w:lineRule="auto"/>
        <w:ind w:left="2835" w:hanging="2835"/>
        <w:jc w:val="both"/>
        <w:rPr>
          <w:rFonts w:cs="Arial"/>
        </w:rPr>
      </w:pPr>
      <w:r w:rsidRPr="00000AE3">
        <w:rPr>
          <w:rFonts w:cs="Arial"/>
        </w:rPr>
        <w:t>Nařízení Komise</w:t>
      </w:r>
      <w:r>
        <w:rPr>
          <w:rFonts w:cs="Arial"/>
        </w:rPr>
        <w:t xml:space="preserve"> ………………</w:t>
      </w:r>
      <w:r w:rsidR="00557157">
        <w:rPr>
          <w:rFonts w:cs="Arial"/>
        </w:rPr>
        <w:tab/>
      </w:r>
      <w:r w:rsidRPr="00000AE3">
        <w:rPr>
          <w:rFonts w:cs="Arial"/>
        </w:rPr>
        <w:t>Nařízení Komise (EU) č. 651/2014 ze dne 17. června 2014</w:t>
      </w:r>
      <w:r w:rsidR="00005AFB">
        <w:rPr>
          <w:rFonts w:cs="Arial"/>
        </w:rPr>
        <w:t>,</w:t>
      </w:r>
      <w:r w:rsidR="00005AFB" w:rsidRPr="00005AFB">
        <w:rPr>
          <w:rFonts w:cs="Arial"/>
        </w:rPr>
        <w:t xml:space="preserve"> kterým se v</w:t>
      </w:r>
      <w:r w:rsidR="00005AFB">
        <w:rPr>
          <w:rFonts w:cs="Arial"/>
        </w:rPr>
        <w:t> souladu</w:t>
      </w:r>
      <w:r w:rsidR="00005AFB" w:rsidRPr="00005AFB">
        <w:rPr>
          <w:rFonts w:cs="Arial"/>
        </w:rPr>
        <w:t xml:space="preserve"> s články 107 a 108 Smlouvy prohlašují určité kategorie podpory za</w:t>
      </w:r>
      <w:r w:rsidR="00005AFB">
        <w:rPr>
          <w:rFonts w:cs="Arial"/>
        </w:rPr>
        <w:t> </w:t>
      </w:r>
      <w:r w:rsidR="00005AFB" w:rsidRPr="00005AFB">
        <w:rPr>
          <w:rFonts w:cs="Arial"/>
        </w:rPr>
        <w:t>slučitelné s vnitřním trhem</w:t>
      </w:r>
    </w:p>
    <w:p w14:paraId="40B79D6A" w14:textId="720C0455" w:rsidR="00D7272E" w:rsidRDefault="00D7272E" w:rsidP="00557157">
      <w:pPr>
        <w:tabs>
          <w:tab w:val="left" w:leader="dot" w:pos="2835"/>
        </w:tabs>
        <w:spacing w:after="0" w:line="276" w:lineRule="auto"/>
        <w:jc w:val="both"/>
        <w:rPr>
          <w:rFonts w:cs="Arial"/>
        </w:rPr>
      </w:pPr>
      <w:r>
        <w:t>NKÚ ………………………………………</w:t>
      </w:r>
      <w:r w:rsidR="00557157">
        <w:tab/>
      </w:r>
      <w:r>
        <w:t>Nejvyšší kontrolní úřad</w:t>
      </w:r>
    </w:p>
    <w:p w14:paraId="5710CCAD" w14:textId="7257E781" w:rsidR="00557157" w:rsidRDefault="00557157" w:rsidP="00557157">
      <w:pPr>
        <w:tabs>
          <w:tab w:val="left" w:leader="dot" w:pos="2835"/>
        </w:tabs>
        <w:spacing w:after="0" w:line="276" w:lineRule="auto"/>
        <w:jc w:val="both"/>
        <w:rPr>
          <w:rFonts w:cs="Arial"/>
        </w:rPr>
      </w:pPr>
      <w:r>
        <w:rPr>
          <w:rFonts w:cs="Arial"/>
        </w:rPr>
        <w:t>Nováčci</w:t>
      </w:r>
      <w:r>
        <w:rPr>
          <w:rFonts w:cs="Arial"/>
        </w:rPr>
        <w:tab/>
      </w:r>
      <w:r>
        <w:rPr>
          <w:rFonts w:cs="Arial"/>
        </w:rPr>
        <w:tab/>
        <w:t>P</w:t>
      </w:r>
      <w:r w:rsidRPr="00557157">
        <w:rPr>
          <w:rFonts w:cs="Arial"/>
        </w:rPr>
        <w:t xml:space="preserve">odprogram </w:t>
      </w:r>
      <w:r>
        <w:rPr>
          <w:rFonts w:cs="Arial"/>
        </w:rPr>
        <w:t>2</w:t>
      </w:r>
      <w:r w:rsidRPr="00557157">
        <w:rPr>
          <w:rFonts w:cs="Arial"/>
        </w:rPr>
        <w:t xml:space="preserve"> programu TREND</w:t>
      </w:r>
    </w:p>
    <w:p w14:paraId="3C6D52C4" w14:textId="51A966EA" w:rsidR="00C00C53" w:rsidRDefault="00C00C53" w:rsidP="00557157">
      <w:pPr>
        <w:tabs>
          <w:tab w:val="left" w:leader="dot" w:pos="2835"/>
        </w:tabs>
        <w:spacing w:after="0" w:line="276" w:lineRule="auto"/>
        <w:jc w:val="both"/>
        <w:rPr>
          <w:rFonts w:cs="Arial"/>
        </w:rPr>
      </w:pPr>
      <w:r>
        <w:rPr>
          <w:rFonts w:cs="Arial"/>
        </w:rPr>
        <w:t>NPO</w:t>
      </w:r>
      <w:r>
        <w:rPr>
          <w:rFonts w:cs="Arial"/>
        </w:rPr>
        <w:tab/>
        <w:t>Národní plán obnovy</w:t>
      </w:r>
    </w:p>
    <w:p w14:paraId="5C614D2C" w14:textId="51F8449E" w:rsidR="000E1FA4" w:rsidRDefault="000E1FA4" w:rsidP="00557157">
      <w:pPr>
        <w:tabs>
          <w:tab w:val="left" w:leader="dot" w:pos="2835"/>
        </w:tabs>
        <w:spacing w:after="0" w:line="276" w:lineRule="auto"/>
        <w:jc w:val="both"/>
        <w:rPr>
          <w:rFonts w:cs="Arial"/>
        </w:rPr>
      </w:pPr>
      <w:r>
        <w:rPr>
          <w:rFonts w:cs="Arial"/>
        </w:rPr>
        <w:t>NPOV …………………………………</w:t>
      </w:r>
      <w:r w:rsidR="00557157">
        <w:rPr>
          <w:rFonts w:cs="Arial"/>
        </w:rPr>
        <w:tab/>
      </w:r>
      <w:r w:rsidRPr="00672FDF">
        <w:rPr>
          <w:rFonts w:cs="Arial"/>
        </w:rPr>
        <w:t>Národní priority orientovaného výzkumu, experimentálního vývoje a inovací</w:t>
      </w:r>
    </w:p>
    <w:p w14:paraId="0F3D98A4" w14:textId="42AF1653" w:rsidR="00C00C53" w:rsidRDefault="00C00C53" w:rsidP="00557157">
      <w:pPr>
        <w:tabs>
          <w:tab w:val="left" w:leader="dot" w:pos="2835"/>
        </w:tabs>
        <w:spacing w:after="0" w:line="276" w:lineRule="auto"/>
        <w:jc w:val="both"/>
      </w:pPr>
      <w:r>
        <w:t>poskytovatel</w:t>
      </w:r>
      <w:r>
        <w:tab/>
        <w:t>poskytovatel podpory v programu TREND – Technologická agentura ČR</w:t>
      </w:r>
    </w:p>
    <w:p w14:paraId="1BDA7E62" w14:textId="54B3C29B" w:rsidR="000E1FA4" w:rsidRPr="00672FDF" w:rsidRDefault="000E1FA4" w:rsidP="00557157">
      <w:pPr>
        <w:tabs>
          <w:tab w:val="left" w:leader="dot" w:pos="2835"/>
        </w:tabs>
        <w:spacing w:after="0" w:line="276" w:lineRule="auto"/>
        <w:jc w:val="both"/>
      </w:pPr>
      <w:r>
        <w:t>PP1, PP2 ……………………………</w:t>
      </w:r>
      <w:r w:rsidR="00557157">
        <w:tab/>
      </w:r>
      <w:r>
        <w:t>Podprogram 1 a 2</w:t>
      </w:r>
      <w:r w:rsidR="00557157">
        <w:t xml:space="preserve"> programu TREND</w:t>
      </w:r>
    </w:p>
    <w:p w14:paraId="35672901" w14:textId="5AD063C7" w:rsidR="000E1FA4" w:rsidRDefault="000E1FA4" w:rsidP="00557157">
      <w:pPr>
        <w:tabs>
          <w:tab w:val="left" w:leader="dot" w:pos="2835"/>
        </w:tabs>
        <w:spacing w:after="0"/>
        <w:jc w:val="both"/>
      </w:pPr>
      <w:r>
        <w:t>Progra</w:t>
      </w:r>
      <w:r w:rsidR="00557157">
        <w:t>m</w:t>
      </w:r>
      <w:r w:rsidR="00557157">
        <w:tab/>
      </w:r>
      <w:r w:rsidR="00F14709">
        <w:t>p</w:t>
      </w:r>
      <w:r>
        <w:t>rogram TREND</w:t>
      </w:r>
    </w:p>
    <w:p w14:paraId="519CEEA4" w14:textId="4B83B332" w:rsidR="000E1FA4" w:rsidRDefault="000E1FA4" w:rsidP="00557157">
      <w:pPr>
        <w:tabs>
          <w:tab w:val="left" w:leader="dot" w:pos="2835"/>
        </w:tabs>
        <w:spacing w:after="0"/>
        <w:jc w:val="both"/>
      </w:pPr>
      <w:r>
        <w:t>přTA ………………………………………</w:t>
      </w:r>
      <w:r w:rsidR="00557157">
        <w:tab/>
      </w:r>
      <w:r>
        <w:t>p</w:t>
      </w:r>
      <w:r w:rsidRPr="0068727A">
        <w:t>ředsednictv</w:t>
      </w:r>
      <w:r>
        <w:t>o</w:t>
      </w:r>
      <w:r w:rsidRPr="0068727A">
        <w:t xml:space="preserve"> TA ČR </w:t>
      </w:r>
    </w:p>
    <w:p w14:paraId="0C7BFD45" w14:textId="0700424C" w:rsidR="000E1FA4" w:rsidRDefault="000E1FA4" w:rsidP="00557157">
      <w:pPr>
        <w:tabs>
          <w:tab w:val="left" w:leader="dot" w:pos="2835"/>
        </w:tabs>
        <w:spacing w:after="0"/>
        <w:jc w:val="both"/>
      </w:pPr>
      <w:r>
        <w:t>PT TREND ………………………………</w:t>
      </w:r>
      <w:r w:rsidR="00557157">
        <w:tab/>
      </w:r>
      <w:r w:rsidRPr="0068727A">
        <w:t>Programový tým TREND</w:t>
      </w:r>
    </w:p>
    <w:p w14:paraId="0BB004EE" w14:textId="2D18BF72" w:rsidR="000E1FA4" w:rsidRDefault="000E1FA4" w:rsidP="00557157">
      <w:pPr>
        <w:tabs>
          <w:tab w:val="left" w:leader="dot" w:pos="2835"/>
        </w:tabs>
        <w:spacing w:after="0"/>
        <w:jc w:val="both"/>
        <w:rPr>
          <w:rFonts w:cs="Arial"/>
        </w:rPr>
      </w:pPr>
      <w:r w:rsidRPr="00000AE3">
        <w:rPr>
          <w:rFonts w:cs="Arial"/>
        </w:rPr>
        <w:t>Rámec</w:t>
      </w:r>
      <w:r>
        <w:rPr>
          <w:rFonts w:cs="Arial"/>
        </w:rPr>
        <w:t xml:space="preserve"> …………………………………</w:t>
      </w:r>
      <w:r w:rsidR="00557157">
        <w:rPr>
          <w:rFonts w:cs="Arial"/>
        </w:rPr>
        <w:tab/>
      </w:r>
      <w:r w:rsidRPr="00000AE3">
        <w:rPr>
          <w:rFonts w:cs="Arial"/>
        </w:rPr>
        <w:t>Rámec pro státní podporu výzkumu, vývoje a</w:t>
      </w:r>
      <w:r>
        <w:rPr>
          <w:rFonts w:cs="Arial"/>
        </w:rPr>
        <w:t> </w:t>
      </w:r>
      <w:r w:rsidRPr="00000AE3">
        <w:rPr>
          <w:rFonts w:cs="Arial"/>
        </w:rPr>
        <w:t>inovací (2014/C 198/01)</w:t>
      </w:r>
    </w:p>
    <w:p w14:paraId="7AB9CF29" w14:textId="7E5A1457" w:rsidR="000E1FA4" w:rsidRDefault="000E1FA4" w:rsidP="00557157">
      <w:pPr>
        <w:tabs>
          <w:tab w:val="left" w:leader="dot" w:pos="2835"/>
        </w:tabs>
        <w:spacing w:after="0"/>
        <w:jc w:val="both"/>
        <w:rPr>
          <w:rFonts w:cs="Arial"/>
        </w:rPr>
      </w:pPr>
      <w:r>
        <w:t>SHZ ……………………………………</w:t>
      </w:r>
      <w:r w:rsidR="00557157">
        <w:tab/>
      </w:r>
      <w:r>
        <w:t>souhrnná hodnoticí zpráva</w:t>
      </w:r>
    </w:p>
    <w:p w14:paraId="454D5AA5" w14:textId="7785D6B3" w:rsidR="000E1FA4" w:rsidRDefault="000E1FA4" w:rsidP="00557157">
      <w:pPr>
        <w:tabs>
          <w:tab w:val="left" w:leader="dot" w:pos="2835"/>
        </w:tabs>
        <w:spacing w:after="0" w:line="276" w:lineRule="auto"/>
        <w:jc w:val="both"/>
      </w:pPr>
      <w:r w:rsidRPr="007B4C79">
        <w:t>SP</w:t>
      </w:r>
      <w:r>
        <w:t xml:space="preserve"> …………………………………</w:t>
      </w:r>
      <w:r w:rsidR="00557157">
        <w:tab/>
      </w:r>
      <w:r w:rsidRPr="007B4C79">
        <w:t>střední podnik</w:t>
      </w:r>
    </w:p>
    <w:p w14:paraId="439B446F" w14:textId="7BB5989B" w:rsidR="000E1FA4" w:rsidRDefault="000E1FA4" w:rsidP="00557157">
      <w:pPr>
        <w:tabs>
          <w:tab w:val="left" w:leader="dot" w:pos="2835"/>
        </w:tabs>
        <w:spacing w:after="0" w:line="276" w:lineRule="auto"/>
        <w:jc w:val="both"/>
      </w:pPr>
      <w:r>
        <w:t>TA ČR …………………………………</w:t>
      </w:r>
      <w:r w:rsidR="00557157">
        <w:tab/>
      </w:r>
      <w:r>
        <w:t>Technologická agentura Č</w:t>
      </w:r>
      <w:r w:rsidR="00C00C53">
        <w:t>eské republiky</w:t>
      </w:r>
    </w:p>
    <w:p w14:paraId="369D1DA8" w14:textId="45A60C98" w:rsidR="000E1FA4" w:rsidRDefault="000E1FA4" w:rsidP="00557157">
      <w:pPr>
        <w:tabs>
          <w:tab w:val="left" w:leader="dot" w:pos="2835"/>
        </w:tabs>
        <w:spacing w:after="0"/>
        <w:jc w:val="both"/>
        <w:rPr>
          <w:rFonts w:cs="Arial"/>
        </w:rPr>
      </w:pPr>
      <w:r>
        <w:rPr>
          <w:rFonts w:cs="Arial"/>
        </w:rPr>
        <w:t>VaV ………………………………………</w:t>
      </w:r>
      <w:r w:rsidR="00172A1F">
        <w:rPr>
          <w:rFonts w:cs="Arial"/>
        </w:rPr>
        <w:t>.</w:t>
      </w:r>
      <w:r w:rsidR="00557157">
        <w:rPr>
          <w:rFonts w:cs="Arial"/>
        </w:rPr>
        <w:tab/>
      </w:r>
      <w:r>
        <w:rPr>
          <w:rFonts w:cs="Arial"/>
        </w:rPr>
        <w:t>výzkum a vývoj</w:t>
      </w:r>
    </w:p>
    <w:p w14:paraId="30E7EA9B" w14:textId="1209516A" w:rsidR="00D7272E" w:rsidRPr="00D7272E" w:rsidRDefault="00D7272E" w:rsidP="00557157">
      <w:pPr>
        <w:tabs>
          <w:tab w:val="left" w:leader="dot" w:pos="2835"/>
        </w:tabs>
        <w:spacing w:after="0" w:line="276" w:lineRule="auto"/>
        <w:jc w:val="both"/>
      </w:pPr>
      <w:r w:rsidRPr="007B4C79">
        <w:t>VaVaI</w:t>
      </w:r>
      <w:r>
        <w:t xml:space="preserve"> …………………………………</w:t>
      </w:r>
      <w:r w:rsidR="00557157">
        <w:tab/>
      </w:r>
      <w:r w:rsidRPr="007B4C79">
        <w:t>výzkum, vývoj a inovace</w:t>
      </w:r>
    </w:p>
    <w:p w14:paraId="44878CE0" w14:textId="1A34D4F2" w:rsidR="000E1FA4" w:rsidRDefault="000E1FA4" w:rsidP="00557157">
      <w:pPr>
        <w:tabs>
          <w:tab w:val="left" w:leader="dot" w:pos="2835"/>
        </w:tabs>
        <w:spacing w:after="0"/>
        <w:jc w:val="both"/>
        <w:rPr>
          <w:rFonts w:cs="Arial"/>
        </w:rPr>
      </w:pPr>
      <w:r>
        <w:rPr>
          <w:rFonts w:cs="Arial"/>
        </w:rPr>
        <w:t>VO ………………………………………</w:t>
      </w:r>
      <w:r w:rsidR="00172A1F">
        <w:rPr>
          <w:rFonts w:cs="Arial"/>
        </w:rPr>
        <w:t>.</w:t>
      </w:r>
      <w:r w:rsidR="00557157">
        <w:rPr>
          <w:rFonts w:cs="Arial"/>
        </w:rPr>
        <w:tab/>
      </w:r>
      <w:r>
        <w:rPr>
          <w:rFonts w:cs="Arial"/>
        </w:rPr>
        <w:t>výzkumná organizace</w:t>
      </w:r>
    </w:p>
    <w:p w14:paraId="5C3F5E3F" w14:textId="36BA3A49" w:rsidR="002A2CC3" w:rsidRDefault="002A2CC3" w:rsidP="00557157">
      <w:pPr>
        <w:tabs>
          <w:tab w:val="left" w:leader="dot" w:pos="2835"/>
        </w:tabs>
        <w:spacing w:after="0" w:line="276" w:lineRule="auto"/>
        <w:jc w:val="both"/>
      </w:pPr>
      <w:r>
        <w:t>VO soukr.</w:t>
      </w:r>
      <w:r>
        <w:tab/>
      </w:r>
      <w:r w:rsidRPr="002A2CC3">
        <w:t>výzkumn</w:t>
      </w:r>
      <w:r>
        <w:t>á</w:t>
      </w:r>
      <w:r w:rsidRPr="002A2CC3">
        <w:t xml:space="preserve"> organizac</w:t>
      </w:r>
      <w:r>
        <w:t>e</w:t>
      </w:r>
      <w:r w:rsidRPr="002A2CC3">
        <w:t xml:space="preserve"> zřízen</w:t>
      </w:r>
      <w:r>
        <w:t>á</w:t>
      </w:r>
      <w:r w:rsidRPr="002A2CC3">
        <w:t xml:space="preserve"> podle soukromého práva</w:t>
      </w:r>
    </w:p>
    <w:p w14:paraId="1F3434DC" w14:textId="00D3E686" w:rsidR="000E1FA4" w:rsidRPr="009A0FA1" w:rsidRDefault="000E1FA4" w:rsidP="00557157">
      <w:pPr>
        <w:tabs>
          <w:tab w:val="left" w:leader="dot" w:pos="2835"/>
        </w:tabs>
        <w:spacing w:after="0" w:line="276" w:lineRule="auto"/>
        <w:jc w:val="both"/>
      </w:pPr>
      <w:r>
        <w:t>V</w:t>
      </w:r>
      <w:r w:rsidRPr="007B4C79">
        <w:t>P</w:t>
      </w:r>
      <w:r>
        <w:t xml:space="preserve"> ………………………………………</w:t>
      </w:r>
      <w:r w:rsidR="00172A1F">
        <w:t>.</w:t>
      </w:r>
      <w:r w:rsidR="00557157">
        <w:tab/>
      </w:r>
      <w:r>
        <w:t>velký</w:t>
      </w:r>
      <w:r w:rsidRPr="007B4C79">
        <w:t xml:space="preserve"> podnik</w:t>
      </w:r>
    </w:p>
    <w:p w14:paraId="30DC9A57" w14:textId="52729F3B" w:rsidR="000E1FA4" w:rsidRDefault="000E1FA4" w:rsidP="00557157">
      <w:pPr>
        <w:tabs>
          <w:tab w:val="left" w:leader="dot" w:pos="2835"/>
        </w:tabs>
        <w:spacing w:after="0"/>
        <w:jc w:val="both"/>
      </w:pPr>
      <w:r>
        <w:rPr>
          <w:rFonts w:cs="Arial"/>
        </w:rPr>
        <w:t>VS ………………………………………</w:t>
      </w:r>
      <w:r w:rsidR="00557157">
        <w:rPr>
          <w:rFonts w:cs="Arial"/>
        </w:rPr>
        <w:tab/>
      </w:r>
      <w:r>
        <w:rPr>
          <w:rFonts w:cs="Arial"/>
        </w:rPr>
        <w:t>veřejná soutěž</w:t>
      </w:r>
    </w:p>
    <w:p w14:paraId="48FFB810" w14:textId="21BECFC0" w:rsidR="002A2CC3" w:rsidRDefault="002A2CC3" w:rsidP="00557157">
      <w:pPr>
        <w:tabs>
          <w:tab w:val="left" w:leader="dot" w:pos="2835"/>
        </w:tabs>
        <w:spacing w:after="0"/>
        <w:jc w:val="both"/>
      </w:pPr>
      <w:r>
        <w:t>VŠ</w:t>
      </w:r>
      <w:r>
        <w:tab/>
        <w:t>vysoká škola</w:t>
      </w:r>
    </w:p>
    <w:p w14:paraId="1A19BAD9" w14:textId="57DCB45A" w:rsidR="000E1FA4" w:rsidRDefault="000E1FA4" w:rsidP="00557157">
      <w:pPr>
        <w:tabs>
          <w:tab w:val="left" w:leader="dot" w:pos="2835"/>
        </w:tabs>
        <w:spacing w:after="0"/>
        <w:jc w:val="both"/>
        <w:rPr>
          <w:rFonts w:cs="Arial"/>
        </w:rPr>
      </w:pPr>
      <w:r>
        <w:t>Zákon ……………………………</w:t>
      </w:r>
      <w:r w:rsidR="00557157">
        <w:tab/>
      </w:r>
      <w:r w:rsidRPr="00000AE3">
        <w:rPr>
          <w:rFonts w:cs="Arial"/>
        </w:rPr>
        <w:t>zákon č. 130/2002 Sb., o</w:t>
      </w:r>
      <w:r>
        <w:rPr>
          <w:rFonts w:cs="Arial"/>
        </w:rPr>
        <w:t> </w:t>
      </w:r>
      <w:r w:rsidRPr="00000AE3">
        <w:rPr>
          <w:rFonts w:cs="Arial"/>
        </w:rPr>
        <w:t>podpoře výzkumu, experimentálního vývoje</w:t>
      </w:r>
      <w:r>
        <w:rPr>
          <w:rFonts w:cs="Arial"/>
        </w:rPr>
        <w:t xml:space="preserve">   </w:t>
      </w:r>
    </w:p>
    <w:p w14:paraId="6821D5FF" w14:textId="77777777" w:rsidR="000E1FA4" w:rsidRDefault="000E1FA4" w:rsidP="00557157">
      <w:pPr>
        <w:tabs>
          <w:tab w:val="left" w:leader="dot" w:pos="2835"/>
        </w:tabs>
        <w:spacing w:after="0"/>
        <w:jc w:val="both"/>
      </w:pPr>
      <w:r>
        <w:rPr>
          <w:rFonts w:cs="Arial"/>
        </w:rPr>
        <w:t xml:space="preserve">                                                         </w:t>
      </w:r>
      <w:r w:rsidRPr="00000AE3">
        <w:rPr>
          <w:rFonts w:cs="Arial"/>
        </w:rPr>
        <w:t>a</w:t>
      </w:r>
      <w:r>
        <w:rPr>
          <w:rFonts w:cs="Arial"/>
        </w:rPr>
        <w:t> </w:t>
      </w:r>
      <w:r w:rsidRPr="00000AE3">
        <w:rPr>
          <w:rFonts w:cs="Arial"/>
        </w:rPr>
        <w:t>inovací z</w:t>
      </w:r>
      <w:r>
        <w:rPr>
          <w:rFonts w:cs="Arial"/>
        </w:rPr>
        <w:t> </w:t>
      </w:r>
      <w:r w:rsidRPr="00000AE3">
        <w:rPr>
          <w:rFonts w:cs="Arial"/>
        </w:rPr>
        <w:t>veřejných prostředků a</w:t>
      </w:r>
      <w:r>
        <w:rPr>
          <w:rFonts w:cs="Arial"/>
        </w:rPr>
        <w:t> </w:t>
      </w:r>
      <w:r w:rsidRPr="00000AE3">
        <w:rPr>
          <w:rFonts w:cs="Arial"/>
        </w:rPr>
        <w:t>o změně některých souvisejících zákonů</w:t>
      </w:r>
    </w:p>
    <w:p w14:paraId="751B7631" w14:textId="49588E4A" w:rsidR="000E1FA4" w:rsidRDefault="000E1FA4" w:rsidP="00557157">
      <w:pPr>
        <w:tabs>
          <w:tab w:val="left" w:leader="dot" w:pos="2835"/>
        </w:tabs>
        <w:jc w:val="both"/>
      </w:pPr>
      <w:r>
        <w:t>Zpráva …………………………………… Průběžná zpráva o realizaci programu TREND</w:t>
      </w:r>
    </w:p>
    <w:bookmarkEnd w:id="53"/>
    <w:p w14:paraId="2B8F1847" w14:textId="77777777" w:rsidR="00005AFB" w:rsidRDefault="00005AFB">
      <w:pPr>
        <w:spacing w:after="200" w:line="276" w:lineRule="auto"/>
        <w:rPr>
          <w:rFonts w:asciiTheme="majorHAnsi" w:eastAsiaTheme="majorEastAsia" w:hAnsiTheme="majorHAnsi" w:cstheme="majorBidi"/>
          <w:b/>
          <w:bCs/>
          <w:noProof/>
          <w:color w:val="004B8D" w:themeColor="text2"/>
          <w:sz w:val="26"/>
          <w:szCs w:val="26"/>
        </w:rPr>
      </w:pPr>
      <w:r>
        <w:br w:type="page"/>
      </w:r>
    </w:p>
    <w:p w14:paraId="3EAE584F" w14:textId="3A460734" w:rsidR="00A74D72" w:rsidRDefault="00A74D72" w:rsidP="00A74D72">
      <w:pPr>
        <w:pStyle w:val="Nadpis2"/>
      </w:pPr>
      <w:bookmarkStart w:id="54" w:name="_Toc185334567"/>
      <w:r>
        <w:lastRenderedPageBreak/>
        <w:t>Seznam tabulek</w:t>
      </w:r>
      <w:bookmarkEnd w:id="54"/>
    </w:p>
    <w:p w14:paraId="7EC4BC3D" w14:textId="5B453E60" w:rsidR="004B5D60" w:rsidRPr="004B5D60" w:rsidRDefault="003F4E47">
      <w:pPr>
        <w:pStyle w:val="Seznamobrzk"/>
        <w:tabs>
          <w:tab w:val="right" w:leader="dot" w:pos="9628"/>
        </w:tabs>
        <w:rPr>
          <w:rFonts w:eastAsiaTheme="minorEastAsia"/>
          <w:noProof/>
          <w:lang w:eastAsia="cs-CZ"/>
        </w:rPr>
      </w:pPr>
      <w:r>
        <w:fldChar w:fldCharType="begin"/>
      </w:r>
      <w:r>
        <w:instrText xml:space="preserve"> TOC \h \z \c "Tabulka" </w:instrText>
      </w:r>
      <w:r>
        <w:fldChar w:fldCharType="separate"/>
      </w:r>
      <w:hyperlink w:anchor="_Toc185334568" w:history="1">
        <w:r w:rsidR="004B5D60" w:rsidRPr="004B5D60">
          <w:rPr>
            <w:rStyle w:val="Hypertextovodkaz"/>
            <w:noProof/>
          </w:rPr>
          <w:t>Tabulka 1: Maximální intenzita podpory pro jednotlivé kategorie činností a kategorie účastníků</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_Toc185334568 \h </w:instrText>
        </w:r>
        <w:r w:rsidR="004B5D60" w:rsidRPr="004B5D60">
          <w:rPr>
            <w:noProof/>
            <w:webHidden/>
          </w:rPr>
        </w:r>
        <w:r w:rsidR="004B5D60" w:rsidRPr="004B5D60">
          <w:rPr>
            <w:noProof/>
            <w:webHidden/>
          </w:rPr>
          <w:fldChar w:fldCharType="separate"/>
        </w:r>
        <w:r w:rsidR="00353407">
          <w:rPr>
            <w:noProof/>
            <w:webHidden/>
          </w:rPr>
          <w:t>4</w:t>
        </w:r>
        <w:r w:rsidR="004B5D60" w:rsidRPr="004B5D60">
          <w:rPr>
            <w:noProof/>
            <w:webHidden/>
          </w:rPr>
          <w:fldChar w:fldCharType="end"/>
        </w:r>
      </w:hyperlink>
    </w:p>
    <w:p w14:paraId="5C767276" w14:textId="0B68DD84" w:rsidR="004B5D60" w:rsidRPr="004B5D60" w:rsidRDefault="00353407">
      <w:pPr>
        <w:pStyle w:val="Seznamobrzk"/>
        <w:tabs>
          <w:tab w:val="right" w:leader="dot" w:pos="9628"/>
        </w:tabs>
        <w:rPr>
          <w:rFonts w:eastAsiaTheme="minorEastAsia"/>
          <w:noProof/>
          <w:lang w:eastAsia="cs-CZ"/>
        </w:rPr>
      </w:pPr>
      <w:hyperlink w:anchor="_Toc185334569" w:history="1">
        <w:r w:rsidR="004B5D60" w:rsidRPr="004B5D60">
          <w:rPr>
            <w:rStyle w:val="Hypertextovodkaz"/>
            <w:noProof/>
          </w:rPr>
          <w:t>Tabulka 2: Přehled ukončených veřejných soutěží</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_Toc185334569 \h </w:instrText>
        </w:r>
        <w:r w:rsidR="004B5D60" w:rsidRPr="004B5D60">
          <w:rPr>
            <w:noProof/>
            <w:webHidden/>
          </w:rPr>
        </w:r>
        <w:r w:rsidR="004B5D60" w:rsidRPr="004B5D60">
          <w:rPr>
            <w:noProof/>
            <w:webHidden/>
          </w:rPr>
          <w:fldChar w:fldCharType="separate"/>
        </w:r>
        <w:r>
          <w:rPr>
            <w:noProof/>
            <w:webHidden/>
          </w:rPr>
          <w:t>5</w:t>
        </w:r>
        <w:r w:rsidR="004B5D60" w:rsidRPr="004B5D60">
          <w:rPr>
            <w:noProof/>
            <w:webHidden/>
          </w:rPr>
          <w:fldChar w:fldCharType="end"/>
        </w:r>
      </w:hyperlink>
    </w:p>
    <w:p w14:paraId="4711EDE9" w14:textId="0ADB8AF3" w:rsidR="004B5D60" w:rsidRPr="004B5D60" w:rsidRDefault="00353407">
      <w:pPr>
        <w:pStyle w:val="Seznamobrzk"/>
        <w:tabs>
          <w:tab w:val="right" w:leader="dot" w:pos="9628"/>
        </w:tabs>
        <w:rPr>
          <w:rFonts w:eastAsiaTheme="minorEastAsia"/>
          <w:noProof/>
          <w:lang w:eastAsia="cs-CZ"/>
        </w:rPr>
      </w:pPr>
      <w:hyperlink w:anchor="_Toc185334570" w:history="1">
        <w:r w:rsidR="004B5D60" w:rsidRPr="004B5D60">
          <w:rPr>
            <w:rStyle w:val="Hypertextovodkaz"/>
            <w:noProof/>
          </w:rPr>
          <w:t>Tabulka 3: Přehled podaných a úspěšných návrhů projektů podle veřejných soutěží</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_Toc185334570 \h </w:instrText>
        </w:r>
        <w:r w:rsidR="004B5D60" w:rsidRPr="004B5D60">
          <w:rPr>
            <w:noProof/>
            <w:webHidden/>
          </w:rPr>
        </w:r>
        <w:r w:rsidR="004B5D60" w:rsidRPr="004B5D60">
          <w:rPr>
            <w:noProof/>
            <w:webHidden/>
          </w:rPr>
          <w:fldChar w:fldCharType="separate"/>
        </w:r>
        <w:r>
          <w:rPr>
            <w:noProof/>
            <w:webHidden/>
          </w:rPr>
          <w:t>6</w:t>
        </w:r>
        <w:r w:rsidR="004B5D60" w:rsidRPr="004B5D60">
          <w:rPr>
            <w:noProof/>
            <w:webHidden/>
          </w:rPr>
          <w:fldChar w:fldCharType="end"/>
        </w:r>
      </w:hyperlink>
    </w:p>
    <w:p w14:paraId="15E0E3B5" w14:textId="55F87326" w:rsidR="004B5D60" w:rsidRPr="004B5D60" w:rsidRDefault="00353407">
      <w:pPr>
        <w:pStyle w:val="Seznamobrzk"/>
        <w:tabs>
          <w:tab w:val="right" w:leader="dot" w:pos="9628"/>
        </w:tabs>
        <w:rPr>
          <w:rFonts w:eastAsiaTheme="minorEastAsia"/>
          <w:noProof/>
          <w:lang w:eastAsia="cs-CZ"/>
        </w:rPr>
      </w:pPr>
      <w:hyperlink w:anchor="_Toc185334571" w:history="1">
        <w:r w:rsidR="004B5D60" w:rsidRPr="004B5D60">
          <w:rPr>
            <w:rStyle w:val="Hypertextovodkaz"/>
            <w:noProof/>
          </w:rPr>
          <w:t>Tabulka 4: Přehled bonifikovaných aspektů v jednotlivých soutěžích</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_Toc185334571 \h </w:instrText>
        </w:r>
        <w:r w:rsidR="004B5D60" w:rsidRPr="004B5D60">
          <w:rPr>
            <w:noProof/>
            <w:webHidden/>
          </w:rPr>
        </w:r>
        <w:r w:rsidR="004B5D60" w:rsidRPr="004B5D60">
          <w:rPr>
            <w:noProof/>
            <w:webHidden/>
          </w:rPr>
          <w:fldChar w:fldCharType="separate"/>
        </w:r>
        <w:r>
          <w:rPr>
            <w:noProof/>
            <w:webHidden/>
          </w:rPr>
          <w:t>14</w:t>
        </w:r>
        <w:r w:rsidR="004B5D60" w:rsidRPr="004B5D60">
          <w:rPr>
            <w:noProof/>
            <w:webHidden/>
          </w:rPr>
          <w:fldChar w:fldCharType="end"/>
        </w:r>
      </w:hyperlink>
    </w:p>
    <w:p w14:paraId="6F8C44FB" w14:textId="6CE1C593" w:rsidR="004B5D60" w:rsidRPr="004B5D60" w:rsidRDefault="00353407">
      <w:pPr>
        <w:pStyle w:val="Seznamobrzk"/>
        <w:tabs>
          <w:tab w:val="right" w:leader="dot" w:pos="9628"/>
        </w:tabs>
        <w:rPr>
          <w:rFonts w:eastAsiaTheme="minorEastAsia"/>
          <w:noProof/>
          <w:lang w:eastAsia="cs-CZ"/>
        </w:rPr>
      </w:pPr>
      <w:hyperlink w:anchor="_Toc185334572" w:history="1">
        <w:r w:rsidR="004B5D60" w:rsidRPr="004B5D60">
          <w:rPr>
            <w:rStyle w:val="Hypertextovodkaz"/>
            <w:noProof/>
          </w:rPr>
          <w:t>Tabulka 5: Rozpočet a výdaje Programu v mil. Kč</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_Toc185334572 \h </w:instrText>
        </w:r>
        <w:r w:rsidR="004B5D60" w:rsidRPr="004B5D60">
          <w:rPr>
            <w:noProof/>
            <w:webHidden/>
          </w:rPr>
        </w:r>
        <w:r w:rsidR="004B5D60" w:rsidRPr="004B5D60">
          <w:rPr>
            <w:noProof/>
            <w:webHidden/>
          </w:rPr>
          <w:fldChar w:fldCharType="separate"/>
        </w:r>
        <w:r>
          <w:rPr>
            <w:noProof/>
            <w:webHidden/>
          </w:rPr>
          <w:t>17</w:t>
        </w:r>
        <w:r w:rsidR="004B5D60" w:rsidRPr="004B5D60">
          <w:rPr>
            <w:noProof/>
            <w:webHidden/>
          </w:rPr>
          <w:fldChar w:fldCharType="end"/>
        </w:r>
      </w:hyperlink>
    </w:p>
    <w:p w14:paraId="733F5428" w14:textId="4EB39A0A" w:rsidR="004B5D60" w:rsidRPr="004B5D60" w:rsidRDefault="00353407">
      <w:pPr>
        <w:pStyle w:val="Seznamobrzk"/>
        <w:tabs>
          <w:tab w:val="right" w:leader="dot" w:pos="9628"/>
        </w:tabs>
        <w:rPr>
          <w:rFonts w:eastAsiaTheme="minorEastAsia"/>
          <w:noProof/>
          <w:lang w:eastAsia="cs-CZ"/>
        </w:rPr>
      </w:pPr>
      <w:hyperlink w:anchor="_Toc185334573" w:history="1">
        <w:r w:rsidR="004B5D60" w:rsidRPr="004B5D60">
          <w:rPr>
            <w:rStyle w:val="Hypertextovodkaz"/>
            <w:noProof/>
          </w:rPr>
          <w:t>Tabulka 6: Podpořené projekty podle jednotlivých VS</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_Toc185334573 \h </w:instrText>
        </w:r>
        <w:r w:rsidR="004B5D60" w:rsidRPr="004B5D60">
          <w:rPr>
            <w:noProof/>
            <w:webHidden/>
          </w:rPr>
        </w:r>
        <w:r w:rsidR="004B5D60" w:rsidRPr="004B5D60">
          <w:rPr>
            <w:noProof/>
            <w:webHidden/>
          </w:rPr>
          <w:fldChar w:fldCharType="separate"/>
        </w:r>
        <w:r>
          <w:rPr>
            <w:noProof/>
            <w:webHidden/>
          </w:rPr>
          <w:t>18</w:t>
        </w:r>
        <w:r w:rsidR="004B5D60" w:rsidRPr="004B5D60">
          <w:rPr>
            <w:noProof/>
            <w:webHidden/>
          </w:rPr>
          <w:fldChar w:fldCharType="end"/>
        </w:r>
      </w:hyperlink>
    </w:p>
    <w:p w14:paraId="5F8C6FDA" w14:textId="5CBC760C" w:rsidR="004B5D60" w:rsidRPr="004B5D60" w:rsidRDefault="00353407">
      <w:pPr>
        <w:pStyle w:val="Seznamobrzk"/>
        <w:tabs>
          <w:tab w:val="right" w:leader="dot" w:pos="9628"/>
        </w:tabs>
        <w:rPr>
          <w:rFonts w:eastAsiaTheme="minorEastAsia"/>
          <w:noProof/>
          <w:lang w:eastAsia="cs-CZ"/>
        </w:rPr>
      </w:pPr>
      <w:hyperlink w:anchor="_Toc185334574" w:history="1">
        <w:r w:rsidR="004B5D60" w:rsidRPr="004B5D60">
          <w:rPr>
            <w:rStyle w:val="Hypertextovodkaz"/>
            <w:noProof/>
          </w:rPr>
          <w:t>Tabulka 7: Podpořené projekty podle typu příjemce (koordinátora)</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_Toc185334574 \h </w:instrText>
        </w:r>
        <w:r w:rsidR="004B5D60" w:rsidRPr="004B5D60">
          <w:rPr>
            <w:noProof/>
            <w:webHidden/>
          </w:rPr>
        </w:r>
        <w:r w:rsidR="004B5D60" w:rsidRPr="004B5D60">
          <w:rPr>
            <w:noProof/>
            <w:webHidden/>
          </w:rPr>
          <w:fldChar w:fldCharType="separate"/>
        </w:r>
        <w:r>
          <w:rPr>
            <w:noProof/>
            <w:webHidden/>
          </w:rPr>
          <w:t>19</w:t>
        </w:r>
        <w:r w:rsidR="004B5D60" w:rsidRPr="004B5D60">
          <w:rPr>
            <w:noProof/>
            <w:webHidden/>
          </w:rPr>
          <w:fldChar w:fldCharType="end"/>
        </w:r>
      </w:hyperlink>
    </w:p>
    <w:p w14:paraId="29ABD8A3" w14:textId="1A8E79C7" w:rsidR="004B5D60" w:rsidRPr="004B5D60" w:rsidRDefault="00353407">
      <w:pPr>
        <w:pStyle w:val="Seznamobrzk"/>
        <w:tabs>
          <w:tab w:val="right" w:leader="dot" w:pos="9628"/>
        </w:tabs>
        <w:rPr>
          <w:rFonts w:eastAsiaTheme="minorEastAsia"/>
          <w:noProof/>
          <w:lang w:eastAsia="cs-CZ"/>
        </w:rPr>
      </w:pPr>
      <w:hyperlink w:anchor="_Toc185334575" w:history="1">
        <w:r w:rsidR="004B5D60" w:rsidRPr="004B5D60">
          <w:rPr>
            <w:rStyle w:val="Hypertextovodkaz"/>
            <w:noProof/>
          </w:rPr>
          <w:t>Tabulka 8: Struktura účastníků projektů (počet zúčastněných subjektů podle typu organizace)</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_Toc185334575 \h </w:instrText>
        </w:r>
        <w:r w:rsidR="004B5D60" w:rsidRPr="004B5D60">
          <w:rPr>
            <w:noProof/>
            <w:webHidden/>
          </w:rPr>
        </w:r>
        <w:r w:rsidR="004B5D60" w:rsidRPr="004B5D60">
          <w:rPr>
            <w:noProof/>
            <w:webHidden/>
          </w:rPr>
          <w:fldChar w:fldCharType="separate"/>
        </w:r>
        <w:r>
          <w:rPr>
            <w:noProof/>
            <w:webHidden/>
          </w:rPr>
          <w:t>19</w:t>
        </w:r>
        <w:r w:rsidR="004B5D60" w:rsidRPr="004B5D60">
          <w:rPr>
            <w:noProof/>
            <w:webHidden/>
          </w:rPr>
          <w:fldChar w:fldCharType="end"/>
        </w:r>
      </w:hyperlink>
    </w:p>
    <w:p w14:paraId="40A2A1E8" w14:textId="1B89725A" w:rsidR="004B5D60" w:rsidRPr="004B5D60" w:rsidRDefault="00353407">
      <w:pPr>
        <w:pStyle w:val="Seznamobrzk"/>
        <w:tabs>
          <w:tab w:val="right" w:leader="dot" w:pos="9628"/>
        </w:tabs>
        <w:rPr>
          <w:rFonts w:eastAsiaTheme="minorEastAsia"/>
          <w:noProof/>
          <w:lang w:eastAsia="cs-CZ"/>
        </w:rPr>
      </w:pPr>
      <w:hyperlink w:anchor="_Toc185334576" w:history="1">
        <w:r w:rsidR="004B5D60" w:rsidRPr="004B5D60">
          <w:rPr>
            <w:rStyle w:val="Hypertextovodkaz"/>
            <w:noProof/>
          </w:rPr>
          <w:t>Tabulka 9: Počet účastí jednotlivých typů organizací</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_Toc185334576 \h </w:instrText>
        </w:r>
        <w:r w:rsidR="004B5D60" w:rsidRPr="004B5D60">
          <w:rPr>
            <w:noProof/>
            <w:webHidden/>
          </w:rPr>
        </w:r>
        <w:r w:rsidR="004B5D60" w:rsidRPr="004B5D60">
          <w:rPr>
            <w:noProof/>
            <w:webHidden/>
          </w:rPr>
          <w:fldChar w:fldCharType="separate"/>
        </w:r>
        <w:r>
          <w:rPr>
            <w:noProof/>
            <w:webHidden/>
          </w:rPr>
          <w:t>20</w:t>
        </w:r>
        <w:r w:rsidR="004B5D60" w:rsidRPr="004B5D60">
          <w:rPr>
            <w:noProof/>
            <w:webHidden/>
          </w:rPr>
          <w:fldChar w:fldCharType="end"/>
        </w:r>
      </w:hyperlink>
    </w:p>
    <w:p w14:paraId="3A2A2011" w14:textId="7CA5FD56" w:rsidR="004B5D60" w:rsidRPr="004B5D60" w:rsidRDefault="00353407">
      <w:pPr>
        <w:pStyle w:val="Seznamobrzk"/>
        <w:tabs>
          <w:tab w:val="right" w:leader="dot" w:pos="9628"/>
        </w:tabs>
        <w:rPr>
          <w:rFonts w:eastAsiaTheme="minorEastAsia"/>
          <w:noProof/>
          <w:lang w:eastAsia="cs-CZ"/>
        </w:rPr>
      </w:pPr>
      <w:hyperlink w:anchor="_Toc185334577" w:history="1">
        <w:r w:rsidR="004B5D60" w:rsidRPr="004B5D60">
          <w:rPr>
            <w:rStyle w:val="Hypertextovodkaz"/>
            <w:noProof/>
          </w:rPr>
          <w:t>Tabulka 10: Podpořené projekty podle kraje příjemce</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_Toc185334577 \h </w:instrText>
        </w:r>
        <w:r w:rsidR="004B5D60" w:rsidRPr="004B5D60">
          <w:rPr>
            <w:noProof/>
            <w:webHidden/>
          </w:rPr>
        </w:r>
        <w:r w:rsidR="004B5D60" w:rsidRPr="004B5D60">
          <w:rPr>
            <w:noProof/>
            <w:webHidden/>
          </w:rPr>
          <w:fldChar w:fldCharType="separate"/>
        </w:r>
        <w:r>
          <w:rPr>
            <w:noProof/>
            <w:webHidden/>
          </w:rPr>
          <w:t>20</w:t>
        </w:r>
        <w:r w:rsidR="004B5D60" w:rsidRPr="004B5D60">
          <w:rPr>
            <w:noProof/>
            <w:webHidden/>
          </w:rPr>
          <w:fldChar w:fldCharType="end"/>
        </w:r>
      </w:hyperlink>
    </w:p>
    <w:p w14:paraId="7D1CFD65" w14:textId="74CAA2E6" w:rsidR="004B5D60" w:rsidRPr="004B5D60" w:rsidRDefault="00353407">
      <w:pPr>
        <w:pStyle w:val="Seznamobrzk"/>
        <w:tabs>
          <w:tab w:val="right" w:leader="dot" w:pos="9628"/>
        </w:tabs>
        <w:rPr>
          <w:rFonts w:eastAsiaTheme="minorEastAsia"/>
          <w:noProof/>
          <w:lang w:eastAsia="cs-CZ"/>
        </w:rPr>
      </w:pPr>
      <w:hyperlink w:anchor="_Toc185334578" w:history="1">
        <w:r w:rsidR="004B5D60" w:rsidRPr="004B5D60">
          <w:rPr>
            <w:rStyle w:val="Hypertextovodkaz"/>
            <w:noProof/>
          </w:rPr>
          <w:t>Tabulka 11: Podpořené projekty podle kraje realizace</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_Toc185334578 \h </w:instrText>
        </w:r>
        <w:r w:rsidR="004B5D60" w:rsidRPr="004B5D60">
          <w:rPr>
            <w:noProof/>
            <w:webHidden/>
          </w:rPr>
        </w:r>
        <w:r w:rsidR="004B5D60" w:rsidRPr="004B5D60">
          <w:rPr>
            <w:noProof/>
            <w:webHidden/>
          </w:rPr>
          <w:fldChar w:fldCharType="separate"/>
        </w:r>
        <w:r>
          <w:rPr>
            <w:noProof/>
            <w:webHidden/>
          </w:rPr>
          <w:t>21</w:t>
        </w:r>
        <w:r w:rsidR="004B5D60" w:rsidRPr="004B5D60">
          <w:rPr>
            <w:noProof/>
            <w:webHidden/>
          </w:rPr>
          <w:fldChar w:fldCharType="end"/>
        </w:r>
      </w:hyperlink>
    </w:p>
    <w:p w14:paraId="5C3207FF" w14:textId="3075006E" w:rsidR="004B5D60" w:rsidRPr="004B5D60" w:rsidRDefault="00353407">
      <w:pPr>
        <w:pStyle w:val="Seznamobrzk"/>
        <w:tabs>
          <w:tab w:val="right" w:leader="dot" w:pos="9628"/>
        </w:tabs>
        <w:rPr>
          <w:rFonts w:eastAsiaTheme="minorEastAsia"/>
          <w:noProof/>
          <w:lang w:eastAsia="cs-CZ"/>
        </w:rPr>
      </w:pPr>
      <w:hyperlink w:anchor="_Toc185334579" w:history="1">
        <w:r w:rsidR="004B5D60" w:rsidRPr="004B5D60">
          <w:rPr>
            <w:rStyle w:val="Hypertextovodkaz"/>
            <w:noProof/>
          </w:rPr>
          <w:t>Tabulka 12: Podpořené projekty podle vědních oborů IS VaVaI</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_Toc185334579 \h </w:instrText>
        </w:r>
        <w:r w:rsidR="004B5D60" w:rsidRPr="004B5D60">
          <w:rPr>
            <w:noProof/>
            <w:webHidden/>
          </w:rPr>
        </w:r>
        <w:r w:rsidR="004B5D60" w:rsidRPr="004B5D60">
          <w:rPr>
            <w:noProof/>
            <w:webHidden/>
          </w:rPr>
          <w:fldChar w:fldCharType="separate"/>
        </w:r>
        <w:r>
          <w:rPr>
            <w:noProof/>
            <w:webHidden/>
          </w:rPr>
          <w:t>21</w:t>
        </w:r>
        <w:r w:rsidR="004B5D60" w:rsidRPr="004B5D60">
          <w:rPr>
            <w:noProof/>
            <w:webHidden/>
          </w:rPr>
          <w:fldChar w:fldCharType="end"/>
        </w:r>
      </w:hyperlink>
    </w:p>
    <w:p w14:paraId="0669A8AB" w14:textId="3BD89073" w:rsidR="004B5D60" w:rsidRPr="004B5D60" w:rsidRDefault="00353407">
      <w:pPr>
        <w:pStyle w:val="Seznamobrzk"/>
        <w:tabs>
          <w:tab w:val="right" w:leader="dot" w:pos="9628"/>
        </w:tabs>
        <w:rPr>
          <w:rFonts w:eastAsiaTheme="minorEastAsia"/>
          <w:noProof/>
          <w:lang w:eastAsia="cs-CZ"/>
        </w:rPr>
      </w:pPr>
      <w:hyperlink w:anchor="_Toc185334580" w:history="1">
        <w:r w:rsidR="004B5D60" w:rsidRPr="004B5D60">
          <w:rPr>
            <w:rStyle w:val="Hypertextovodkaz"/>
            <w:noProof/>
          </w:rPr>
          <w:t>Tabulka 13: Podpořené projekty podle oborů (zastoupených alespoň 10 projekty)</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_Toc185334580 \h </w:instrText>
        </w:r>
        <w:r w:rsidR="004B5D60" w:rsidRPr="004B5D60">
          <w:rPr>
            <w:noProof/>
            <w:webHidden/>
          </w:rPr>
        </w:r>
        <w:r w:rsidR="004B5D60" w:rsidRPr="004B5D60">
          <w:rPr>
            <w:noProof/>
            <w:webHidden/>
          </w:rPr>
          <w:fldChar w:fldCharType="separate"/>
        </w:r>
        <w:r>
          <w:rPr>
            <w:noProof/>
            <w:webHidden/>
          </w:rPr>
          <w:t>22</w:t>
        </w:r>
        <w:r w:rsidR="004B5D60" w:rsidRPr="004B5D60">
          <w:rPr>
            <w:noProof/>
            <w:webHidden/>
          </w:rPr>
          <w:fldChar w:fldCharType="end"/>
        </w:r>
      </w:hyperlink>
    </w:p>
    <w:p w14:paraId="1E78523C" w14:textId="380B384B" w:rsidR="004B5D60" w:rsidRPr="004B5D60" w:rsidRDefault="00353407">
      <w:pPr>
        <w:pStyle w:val="Seznamobrzk"/>
        <w:tabs>
          <w:tab w:val="right" w:leader="dot" w:pos="9628"/>
        </w:tabs>
        <w:rPr>
          <w:rFonts w:eastAsiaTheme="minorEastAsia"/>
          <w:noProof/>
          <w:lang w:eastAsia="cs-CZ"/>
        </w:rPr>
      </w:pPr>
      <w:hyperlink w:anchor="_Toc185334581" w:history="1">
        <w:r w:rsidR="004B5D60" w:rsidRPr="004B5D60">
          <w:rPr>
            <w:rStyle w:val="Hypertextovodkaz"/>
            <w:noProof/>
          </w:rPr>
          <w:t>Tabulka 14: Podpořené projekty podle KETs</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_Toc185334581 \h </w:instrText>
        </w:r>
        <w:r w:rsidR="004B5D60" w:rsidRPr="004B5D60">
          <w:rPr>
            <w:noProof/>
            <w:webHidden/>
          </w:rPr>
        </w:r>
        <w:r w:rsidR="004B5D60" w:rsidRPr="004B5D60">
          <w:rPr>
            <w:noProof/>
            <w:webHidden/>
          </w:rPr>
          <w:fldChar w:fldCharType="separate"/>
        </w:r>
        <w:r>
          <w:rPr>
            <w:noProof/>
            <w:webHidden/>
          </w:rPr>
          <w:t>23</w:t>
        </w:r>
        <w:r w:rsidR="004B5D60" w:rsidRPr="004B5D60">
          <w:rPr>
            <w:noProof/>
            <w:webHidden/>
          </w:rPr>
          <w:fldChar w:fldCharType="end"/>
        </w:r>
      </w:hyperlink>
    </w:p>
    <w:p w14:paraId="08F77E6C" w14:textId="13EC1880" w:rsidR="004B5D60" w:rsidRPr="004B5D60" w:rsidRDefault="00353407">
      <w:pPr>
        <w:pStyle w:val="Seznamobrzk"/>
        <w:tabs>
          <w:tab w:val="right" w:leader="dot" w:pos="9628"/>
        </w:tabs>
        <w:rPr>
          <w:rFonts w:eastAsiaTheme="minorEastAsia"/>
          <w:noProof/>
          <w:lang w:eastAsia="cs-CZ"/>
        </w:rPr>
      </w:pPr>
      <w:hyperlink w:anchor="_Toc185334582" w:history="1">
        <w:r w:rsidR="004B5D60" w:rsidRPr="004B5D60">
          <w:rPr>
            <w:rStyle w:val="Hypertextovodkaz"/>
            <w:noProof/>
          </w:rPr>
          <w:t>Tabulka 15: Podpořené projekty podle CZ – NACE</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_Toc185334582 \h </w:instrText>
        </w:r>
        <w:r w:rsidR="004B5D60" w:rsidRPr="004B5D60">
          <w:rPr>
            <w:noProof/>
            <w:webHidden/>
          </w:rPr>
        </w:r>
        <w:r w:rsidR="004B5D60" w:rsidRPr="004B5D60">
          <w:rPr>
            <w:noProof/>
            <w:webHidden/>
          </w:rPr>
          <w:fldChar w:fldCharType="separate"/>
        </w:r>
        <w:r>
          <w:rPr>
            <w:noProof/>
            <w:webHidden/>
          </w:rPr>
          <w:t>23</w:t>
        </w:r>
        <w:r w:rsidR="004B5D60" w:rsidRPr="004B5D60">
          <w:rPr>
            <w:noProof/>
            <w:webHidden/>
          </w:rPr>
          <w:fldChar w:fldCharType="end"/>
        </w:r>
      </w:hyperlink>
    </w:p>
    <w:p w14:paraId="19B9B8AC" w14:textId="0BB11895" w:rsidR="004B5D60" w:rsidRPr="004B5D60" w:rsidRDefault="00353407">
      <w:pPr>
        <w:pStyle w:val="Seznamobrzk"/>
        <w:tabs>
          <w:tab w:val="right" w:leader="dot" w:pos="9628"/>
        </w:tabs>
        <w:rPr>
          <w:rFonts w:eastAsiaTheme="minorEastAsia"/>
          <w:noProof/>
          <w:lang w:eastAsia="cs-CZ"/>
        </w:rPr>
      </w:pPr>
      <w:hyperlink w:anchor="_Toc185334583" w:history="1">
        <w:r w:rsidR="004B5D60" w:rsidRPr="004B5D60">
          <w:rPr>
            <w:rStyle w:val="Hypertextovodkaz"/>
            <w:noProof/>
          </w:rPr>
          <w:t>Tabulka 16: Podpořené projekty – Zpracovatelský průmysl (zastoupené alespoň v 10 projektech)</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_Toc185334583 \h </w:instrText>
        </w:r>
        <w:r w:rsidR="004B5D60" w:rsidRPr="004B5D60">
          <w:rPr>
            <w:noProof/>
            <w:webHidden/>
          </w:rPr>
        </w:r>
        <w:r w:rsidR="004B5D60" w:rsidRPr="004B5D60">
          <w:rPr>
            <w:noProof/>
            <w:webHidden/>
          </w:rPr>
          <w:fldChar w:fldCharType="separate"/>
        </w:r>
        <w:r>
          <w:rPr>
            <w:noProof/>
            <w:webHidden/>
          </w:rPr>
          <w:t>24</w:t>
        </w:r>
        <w:r w:rsidR="004B5D60" w:rsidRPr="004B5D60">
          <w:rPr>
            <w:noProof/>
            <w:webHidden/>
          </w:rPr>
          <w:fldChar w:fldCharType="end"/>
        </w:r>
      </w:hyperlink>
    </w:p>
    <w:p w14:paraId="04EE643F" w14:textId="7E21752F" w:rsidR="004B5D60" w:rsidRPr="004B5D60" w:rsidRDefault="00353407">
      <w:pPr>
        <w:pStyle w:val="Seznamobrzk"/>
        <w:tabs>
          <w:tab w:val="right" w:leader="dot" w:pos="9628"/>
        </w:tabs>
        <w:rPr>
          <w:rFonts w:eastAsiaTheme="minorEastAsia"/>
          <w:noProof/>
          <w:lang w:eastAsia="cs-CZ"/>
        </w:rPr>
      </w:pPr>
      <w:hyperlink w:anchor="_Toc185334584" w:history="1">
        <w:r w:rsidR="004B5D60" w:rsidRPr="004B5D60">
          <w:rPr>
            <w:rStyle w:val="Hypertextovodkaz"/>
            <w:noProof/>
          </w:rPr>
          <w:t>Tabulka 17: Podpořené projekty podle tematických oblastí RIS3 strategie</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_Toc185334584 \h </w:instrText>
        </w:r>
        <w:r w:rsidR="004B5D60" w:rsidRPr="004B5D60">
          <w:rPr>
            <w:noProof/>
            <w:webHidden/>
          </w:rPr>
        </w:r>
        <w:r w:rsidR="004B5D60" w:rsidRPr="004B5D60">
          <w:rPr>
            <w:noProof/>
            <w:webHidden/>
          </w:rPr>
          <w:fldChar w:fldCharType="separate"/>
        </w:r>
        <w:r>
          <w:rPr>
            <w:noProof/>
            <w:webHidden/>
          </w:rPr>
          <w:t>25</w:t>
        </w:r>
        <w:r w:rsidR="004B5D60" w:rsidRPr="004B5D60">
          <w:rPr>
            <w:noProof/>
            <w:webHidden/>
          </w:rPr>
          <w:fldChar w:fldCharType="end"/>
        </w:r>
      </w:hyperlink>
    </w:p>
    <w:p w14:paraId="48887C7C" w14:textId="727C07F8" w:rsidR="004B5D60" w:rsidRPr="004B5D60" w:rsidRDefault="00353407">
      <w:pPr>
        <w:pStyle w:val="Seznamobrzk"/>
        <w:tabs>
          <w:tab w:val="right" w:leader="dot" w:pos="9628"/>
        </w:tabs>
        <w:rPr>
          <w:rFonts w:eastAsiaTheme="minorEastAsia"/>
          <w:noProof/>
          <w:lang w:eastAsia="cs-CZ"/>
        </w:rPr>
      </w:pPr>
      <w:hyperlink w:anchor="_Toc185334585" w:history="1">
        <w:r w:rsidR="004B5D60" w:rsidRPr="004B5D60">
          <w:rPr>
            <w:rStyle w:val="Hypertextovodkaz"/>
            <w:noProof/>
          </w:rPr>
          <w:t>Tabulka 18: Přehled očekávaných aplikovaných výsledků</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_Toc185334585 \h </w:instrText>
        </w:r>
        <w:r w:rsidR="004B5D60" w:rsidRPr="004B5D60">
          <w:rPr>
            <w:noProof/>
            <w:webHidden/>
          </w:rPr>
        </w:r>
        <w:r w:rsidR="004B5D60" w:rsidRPr="004B5D60">
          <w:rPr>
            <w:noProof/>
            <w:webHidden/>
          </w:rPr>
          <w:fldChar w:fldCharType="separate"/>
        </w:r>
        <w:r>
          <w:rPr>
            <w:noProof/>
            <w:webHidden/>
          </w:rPr>
          <w:t>26</w:t>
        </w:r>
        <w:r w:rsidR="004B5D60" w:rsidRPr="004B5D60">
          <w:rPr>
            <w:noProof/>
            <w:webHidden/>
          </w:rPr>
          <w:fldChar w:fldCharType="end"/>
        </w:r>
      </w:hyperlink>
    </w:p>
    <w:p w14:paraId="371C7258" w14:textId="179F09E3" w:rsidR="004B5D60" w:rsidRDefault="00353407">
      <w:pPr>
        <w:pStyle w:val="Seznamobrzk"/>
        <w:tabs>
          <w:tab w:val="right" w:leader="dot" w:pos="9628"/>
        </w:tabs>
        <w:rPr>
          <w:rFonts w:eastAsiaTheme="minorEastAsia"/>
          <w:noProof/>
          <w:lang w:eastAsia="cs-CZ"/>
        </w:rPr>
      </w:pPr>
      <w:hyperlink w:anchor="_Toc185334586" w:history="1">
        <w:r w:rsidR="004B5D60" w:rsidRPr="004B5D60">
          <w:rPr>
            <w:rStyle w:val="Hypertextovodkaz"/>
            <w:noProof/>
          </w:rPr>
          <w:t>Tabulka 19: Naplňování indikátorů Programu</w:t>
        </w:r>
        <w:r w:rsidR="004B5D60" w:rsidRPr="004B5D60">
          <w:rPr>
            <w:noProof/>
            <w:webHidden/>
          </w:rPr>
          <w:tab/>
        </w:r>
        <w:r w:rsidR="004B5D60" w:rsidRPr="004B5D60">
          <w:rPr>
            <w:noProof/>
            <w:webHidden/>
          </w:rPr>
          <w:fldChar w:fldCharType="begin"/>
        </w:r>
        <w:r w:rsidR="004B5D60" w:rsidRPr="004B5D60">
          <w:rPr>
            <w:noProof/>
            <w:webHidden/>
          </w:rPr>
          <w:instrText xml:space="preserve"> PAGEREF _Toc185334586 \h </w:instrText>
        </w:r>
        <w:r w:rsidR="004B5D60" w:rsidRPr="004B5D60">
          <w:rPr>
            <w:noProof/>
            <w:webHidden/>
          </w:rPr>
        </w:r>
        <w:r w:rsidR="004B5D60" w:rsidRPr="004B5D60">
          <w:rPr>
            <w:noProof/>
            <w:webHidden/>
          </w:rPr>
          <w:fldChar w:fldCharType="separate"/>
        </w:r>
        <w:r>
          <w:rPr>
            <w:noProof/>
            <w:webHidden/>
          </w:rPr>
          <w:t>29</w:t>
        </w:r>
        <w:r w:rsidR="004B5D60" w:rsidRPr="004B5D60">
          <w:rPr>
            <w:noProof/>
            <w:webHidden/>
          </w:rPr>
          <w:fldChar w:fldCharType="end"/>
        </w:r>
      </w:hyperlink>
    </w:p>
    <w:p w14:paraId="417EA47E" w14:textId="595B76E1" w:rsidR="00A74D72" w:rsidRPr="00D86688" w:rsidRDefault="003F4E47" w:rsidP="00A74D72">
      <w:r>
        <w:fldChar w:fldCharType="end"/>
      </w:r>
    </w:p>
    <w:p w14:paraId="67FEBF8A" w14:textId="129E8CDC" w:rsidR="009A305A" w:rsidRPr="00D86688" w:rsidRDefault="009A305A" w:rsidP="00A74D72">
      <w:pPr>
        <w:jc w:val="both"/>
      </w:pPr>
    </w:p>
    <w:sectPr w:rsidR="009A305A" w:rsidRPr="00D86688" w:rsidSect="00DB7113">
      <w:footerReference w:type="default" r:id="rId11"/>
      <w:headerReference w:type="first" r:id="rId12"/>
      <w:footerReference w:type="first" r:id="rId13"/>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C272" w14:textId="77777777" w:rsidR="00C0040D" w:rsidRDefault="00C0040D" w:rsidP="00677FE0">
      <w:pPr>
        <w:spacing w:after="0" w:line="240" w:lineRule="auto"/>
      </w:pPr>
      <w:r>
        <w:separator/>
      </w:r>
    </w:p>
  </w:endnote>
  <w:endnote w:type="continuationSeparator" w:id="0">
    <w:p w14:paraId="4252F680" w14:textId="77777777" w:rsidR="00C0040D" w:rsidRDefault="00C0040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082627"/>
      <w:docPartObj>
        <w:docPartGallery w:val="Page Numbers (Bottom of Page)"/>
        <w:docPartUnique/>
      </w:docPartObj>
    </w:sdtPr>
    <w:sdtEndPr/>
    <w:sdtContent>
      <w:p w14:paraId="580E8770" w14:textId="730C2E4E" w:rsidR="00C0040D" w:rsidRDefault="00C0040D">
        <w:pPr>
          <w:pStyle w:val="Zpat"/>
          <w:jc w:val="right"/>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834541"/>
      <w:docPartObj>
        <w:docPartGallery w:val="Page Numbers (Bottom of Page)"/>
        <w:docPartUnique/>
      </w:docPartObj>
    </w:sdtPr>
    <w:sdtEndPr/>
    <w:sdtContent>
      <w:p w14:paraId="6A3610AB" w14:textId="6DBD2484" w:rsidR="00C0040D" w:rsidRDefault="00C0040D">
        <w:pPr>
          <w:pStyle w:val="Zpat"/>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A55A9" w14:textId="77777777" w:rsidR="00C0040D" w:rsidRDefault="00C0040D" w:rsidP="00677FE0">
      <w:pPr>
        <w:spacing w:after="0" w:line="240" w:lineRule="auto"/>
      </w:pPr>
      <w:r>
        <w:separator/>
      </w:r>
    </w:p>
  </w:footnote>
  <w:footnote w:type="continuationSeparator" w:id="0">
    <w:p w14:paraId="7B8A25B9" w14:textId="77777777" w:rsidR="00C0040D" w:rsidRDefault="00C0040D" w:rsidP="00677FE0">
      <w:pPr>
        <w:spacing w:after="0" w:line="240" w:lineRule="auto"/>
      </w:pPr>
      <w:r>
        <w:continuationSeparator/>
      </w:r>
    </w:p>
  </w:footnote>
  <w:footnote w:id="1">
    <w:p w14:paraId="3C663D3D" w14:textId="18CB38B0" w:rsidR="007B5BDE" w:rsidRDefault="007B5BDE">
      <w:pPr>
        <w:pStyle w:val="Textpoznpodarou"/>
      </w:pPr>
      <w:r>
        <w:rPr>
          <w:rStyle w:val="Znakapoznpodarou"/>
        </w:rPr>
        <w:footnoteRef/>
      </w:r>
      <w:r>
        <w:t xml:space="preserve"> </w:t>
      </w:r>
      <w:r w:rsidR="00CF438E">
        <w:rPr>
          <w:rFonts w:asciiTheme="majorHAnsi" w:hAnsiTheme="majorHAnsi"/>
          <w:szCs w:val="24"/>
        </w:rPr>
        <w:t>projekty podpořené v dosud vyhodnocené 1. až 11. veřejné soutěži</w:t>
      </w:r>
    </w:p>
  </w:footnote>
  <w:footnote w:id="2">
    <w:p w14:paraId="33041860" w14:textId="2FDB7575" w:rsidR="009C79BC" w:rsidRDefault="009C79BC">
      <w:pPr>
        <w:pStyle w:val="Textpoznpodarou"/>
      </w:pPr>
      <w:r>
        <w:rPr>
          <w:rStyle w:val="Znakapoznpodarou"/>
        </w:rPr>
        <w:footnoteRef/>
      </w:r>
      <w:r>
        <w:t xml:space="preserve"> </w:t>
      </w:r>
      <w:r w:rsidRPr="009C79BC">
        <w:t>V pořadí soutěží chybí 5. VS, která byla poskytovatelem dne 22. 12. 2021 vyh</w:t>
      </w:r>
      <w:r w:rsidRPr="00E46E41">
        <w:t>lášena, avšak následně byla s ohledem na</w:t>
      </w:r>
      <w:r w:rsidR="00E46E41">
        <w:t> </w:t>
      </w:r>
      <w:r w:rsidRPr="00E46E41">
        <w:t>nejasnosti ohledně možností státního rozpočtu a jejího financování na základě požadavku MPO zrušena 2</w:t>
      </w:r>
      <w:r w:rsidRPr="009C79BC">
        <w:t>3. 12. 2021. Připravené dokumenty k vyhlášení veřejné soutěže nebyly na webových stránkách TA ČR zveřejněny. Nedošlo ani ke</w:t>
      </w:r>
      <w:r w:rsidR="00E46E41">
        <w:t> </w:t>
      </w:r>
      <w:r w:rsidRPr="009C79BC">
        <w:t>zpřístupnění informačního systému ISTA pro podání návrhů projektů do této veřejné soutěže.</w:t>
      </w:r>
    </w:p>
  </w:footnote>
  <w:footnote w:id="3">
    <w:p w14:paraId="7199EED6" w14:textId="001071D7" w:rsidR="006765BA" w:rsidRDefault="006765BA">
      <w:pPr>
        <w:pStyle w:val="Textpoznpodarou"/>
      </w:pPr>
      <w:r>
        <w:rPr>
          <w:rStyle w:val="Znakapoznpodarou"/>
        </w:rPr>
        <w:footnoteRef/>
      </w:r>
      <w:r>
        <w:t xml:space="preserve"> </w:t>
      </w:r>
      <w:r w:rsidR="001F1364" w:rsidRPr="00687AC3">
        <w:t>Podle údajů z ekonomického informačního systému TA ČR; výdaje zde uvedené se liší od údajů v ostatních částech Zprávy, neboť zde jsou započítány např. vratky podpory, zatímco v jiných částech Zprávy jsou údaje o poskytnuté podpoře.</w:t>
      </w:r>
    </w:p>
  </w:footnote>
  <w:footnote w:id="4">
    <w:p w14:paraId="579842B8" w14:textId="2B153290" w:rsidR="008B0B2F" w:rsidRDefault="008B0B2F">
      <w:pPr>
        <w:pStyle w:val="Textpoznpodarou"/>
      </w:pPr>
      <w:r>
        <w:rPr>
          <w:rStyle w:val="Znakapoznpodarou"/>
        </w:rPr>
        <w:footnoteRef/>
      </w:r>
      <w:r>
        <w:t xml:space="preserve"> Stav před dodatečným navýšením </w:t>
      </w:r>
      <w:r w:rsidR="002342AB">
        <w:t xml:space="preserve">prostředků NPO </w:t>
      </w:r>
      <w:r>
        <w:t>o 144 mil. Kč, ke kterému došlo na podzim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5813" w14:textId="77777777" w:rsidR="00C0040D" w:rsidRDefault="00C004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E20"/>
    <w:multiLevelType w:val="hybridMultilevel"/>
    <w:tmpl w:val="3CAA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E7F9D"/>
    <w:multiLevelType w:val="hybridMultilevel"/>
    <w:tmpl w:val="1B18B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C3741CD"/>
    <w:multiLevelType w:val="multilevel"/>
    <w:tmpl w:val="12D0FC20"/>
    <w:lvl w:ilvl="0">
      <w:start w:val="1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8C2F9B"/>
    <w:multiLevelType w:val="multilevel"/>
    <w:tmpl w:val="71564B2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03A444C"/>
    <w:multiLevelType w:val="hybridMultilevel"/>
    <w:tmpl w:val="A3628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73D4308"/>
    <w:multiLevelType w:val="hybridMultilevel"/>
    <w:tmpl w:val="78B06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F64BAB"/>
    <w:multiLevelType w:val="multilevel"/>
    <w:tmpl w:val="32EAC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1872DA"/>
    <w:multiLevelType w:val="multilevel"/>
    <w:tmpl w:val="E8A48D7C"/>
    <w:numStyleLink w:val="VariantaA-sla"/>
  </w:abstractNum>
  <w:abstractNum w:abstractNumId="11" w15:restartNumberingAfterBreak="0">
    <w:nsid w:val="1E235EEB"/>
    <w:multiLevelType w:val="multilevel"/>
    <w:tmpl w:val="3EB6298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0BB618B"/>
    <w:multiLevelType w:val="multilevel"/>
    <w:tmpl w:val="B28662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5833A12"/>
    <w:multiLevelType w:val="hybridMultilevel"/>
    <w:tmpl w:val="25464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681730"/>
    <w:multiLevelType w:val="hybridMultilevel"/>
    <w:tmpl w:val="80745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CF5E15"/>
    <w:multiLevelType w:val="hybridMultilevel"/>
    <w:tmpl w:val="2486B3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9A5EA2"/>
    <w:multiLevelType w:val="multilevel"/>
    <w:tmpl w:val="E8BAE50A"/>
    <w:numStyleLink w:val="VariantaA-odrky"/>
  </w:abstractNum>
  <w:abstractNum w:abstractNumId="17" w15:restartNumberingAfterBreak="0">
    <w:nsid w:val="2F244381"/>
    <w:multiLevelType w:val="multilevel"/>
    <w:tmpl w:val="E402B2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4B7148E"/>
    <w:multiLevelType w:val="hybridMultilevel"/>
    <w:tmpl w:val="6602E952"/>
    <w:lvl w:ilvl="0" w:tplc="A648BD48">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52451EA"/>
    <w:multiLevelType w:val="multilevel"/>
    <w:tmpl w:val="15F4873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37447CE6"/>
    <w:multiLevelType w:val="multilevel"/>
    <w:tmpl w:val="AA48199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9220EFA"/>
    <w:multiLevelType w:val="hybridMultilevel"/>
    <w:tmpl w:val="68C82E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96D5BB0"/>
    <w:multiLevelType w:val="hybridMultilevel"/>
    <w:tmpl w:val="58DC4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6B6E4C"/>
    <w:multiLevelType w:val="multilevel"/>
    <w:tmpl w:val="37C4B260"/>
    <w:lvl w:ilvl="0">
      <w:start w:val="1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341534B"/>
    <w:multiLevelType w:val="hybridMultilevel"/>
    <w:tmpl w:val="3BDE4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F6026A"/>
    <w:multiLevelType w:val="multilevel"/>
    <w:tmpl w:val="71564B2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8453D92"/>
    <w:multiLevelType w:val="hybridMultilevel"/>
    <w:tmpl w:val="51E066EA"/>
    <w:lvl w:ilvl="0" w:tplc="11C880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406291"/>
    <w:multiLevelType w:val="hybridMultilevel"/>
    <w:tmpl w:val="1F984D6C"/>
    <w:lvl w:ilvl="0" w:tplc="A648BD48">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D3C2CBA"/>
    <w:multiLevelType w:val="hybridMultilevel"/>
    <w:tmpl w:val="3D844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519B002D"/>
    <w:multiLevelType w:val="multilevel"/>
    <w:tmpl w:val="E9E0E8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30B1F53"/>
    <w:multiLevelType w:val="hybridMultilevel"/>
    <w:tmpl w:val="E1122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8730EE8"/>
    <w:multiLevelType w:val="hybridMultilevel"/>
    <w:tmpl w:val="F4029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F35F43"/>
    <w:multiLevelType w:val="multilevel"/>
    <w:tmpl w:val="0D8ABE32"/>
    <w:numStyleLink w:val="VariantaB-sla"/>
  </w:abstractNum>
  <w:abstractNum w:abstractNumId="36" w15:restartNumberingAfterBreak="0">
    <w:nsid w:val="603642EC"/>
    <w:multiLevelType w:val="multilevel"/>
    <w:tmpl w:val="3EB6298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47F3808"/>
    <w:multiLevelType w:val="multilevel"/>
    <w:tmpl w:val="8D242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4FD0A88"/>
    <w:multiLevelType w:val="multilevel"/>
    <w:tmpl w:val="8EBEA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6882A81"/>
    <w:multiLevelType w:val="hybridMultilevel"/>
    <w:tmpl w:val="96E08A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A05E8D"/>
    <w:multiLevelType w:val="hybridMultilevel"/>
    <w:tmpl w:val="043601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E224F2"/>
    <w:multiLevelType w:val="hybridMultilevel"/>
    <w:tmpl w:val="64184A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F960D3C"/>
    <w:multiLevelType w:val="hybridMultilevel"/>
    <w:tmpl w:val="B71AF8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7DB60A0"/>
    <w:multiLevelType w:val="multilevel"/>
    <w:tmpl w:val="3640A7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15:restartNumberingAfterBreak="0">
    <w:nsid w:val="787B68DC"/>
    <w:multiLevelType w:val="hybridMultilevel"/>
    <w:tmpl w:val="F5AEB4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E05AD8"/>
    <w:multiLevelType w:val="multilevel"/>
    <w:tmpl w:val="CB90E6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EF12FE5"/>
    <w:multiLevelType w:val="multilevel"/>
    <w:tmpl w:val="489C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EFB4940"/>
    <w:multiLevelType w:val="hybridMultilevel"/>
    <w:tmpl w:val="E0E40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4"/>
  </w:num>
  <w:num w:numId="3">
    <w:abstractNumId w:val="29"/>
  </w:num>
  <w:num w:numId="4">
    <w:abstractNumId w:val="2"/>
  </w:num>
  <w:num w:numId="5">
    <w:abstractNumId w:val="35"/>
  </w:num>
  <w:num w:numId="6">
    <w:abstractNumId w:val="16"/>
  </w:num>
  <w:num w:numId="7">
    <w:abstractNumId w:val="10"/>
  </w:num>
  <w:num w:numId="8">
    <w:abstractNumId w:val="6"/>
  </w:num>
  <w:num w:numId="9">
    <w:abstractNumId w:val="19"/>
  </w:num>
  <w:num w:numId="10">
    <w:abstractNumId w:val="30"/>
  </w:num>
  <w:num w:numId="11">
    <w:abstractNumId w:val="13"/>
  </w:num>
  <w:num w:numId="12">
    <w:abstractNumId w:val="14"/>
  </w:num>
  <w:num w:numId="13">
    <w:abstractNumId w:val="0"/>
  </w:num>
  <w:num w:numId="14">
    <w:abstractNumId w:val="41"/>
  </w:num>
  <w:num w:numId="15">
    <w:abstractNumId w:val="1"/>
  </w:num>
  <w:num w:numId="16">
    <w:abstractNumId w:val="46"/>
  </w:num>
  <w:num w:numId="17">
    <w:abstractNumId w:val="38"/>
  </w:num>
  <w:num w:numId="18">
    <w:abstractNumId w:val="17"/>
  </w:num>
  <w:num w:numId="19">
    <w:abstractNumId w:val="45"/>
  </w:num>
  <w:num w:numId="20">
    <w:abstractNumId w:val="23"/>
  </w:num>
  <w:num w:numId="21">
    <w:abstractNumId w:val="31"/>
  </w:num>
  <w:num w:numId="22">
    <w:abstractNumId w:val="12"/>
  </w:num>
  <w:num w:numId="23">
    <w:abstractNumId w:val="37"/>
  </w:num>
  <w:num w:numId="24">
    <w:abstractNumId w:val="3"/>
  </w:num>
  <w:num w:numId="25">
    <w:abstractNumId w:val="20"/>
  </w:num>
  <w:num w:numId="26">
    <w:abstractNumId w:val="9"/>
  </w:num>
  <w:num w:numId="27">
    <w:abstractNumId w:val="43"/>
  </w:num>
  <w:num w:numId="28">
    <w:abstractNumId w:val="24"/>
  </w:num>
  <w:num w:numId="29">
    <w:abstractNumId w:val="21"/>
  </w:num>
  <w:num w:numId="30">
    <w:abstractNumId w:val="44"/>
  </w:num>
  <w:num w:numId="31">
    <w:abstractNumId w:val="22"/>
  </w:num>
  <w:num w:numId="32">
    <w:abstractNumId w:val="18"/>
  </w:num>
  <w:num w:numId="33">
    <w:abstractNumId w:val="27"/>
  </w:num>
  <w:num w:numId="34">
    <w:abstractNumId w:val="39"/>
  </w:num>
  <w:num w:numId="35">
    <w:abstractNumId w:val="32"/>
  </w:num>
  <w:num w:numId="36">
    <w:abstractNumId w:val="25"/>
  </w:num>
  <w:num w:numId="37">
    <w:abstractNumId w:val="4"/>
  </w:num>
  <w:num w:numId="38">
    <w:abstractNumId w:val="40"/>
  </w:num>
  <w:num w:numId="39">
    <w:abstractNumId w:val="26"/>
  </w:num>
  <w:num w:numId="40">
    <w:abstractNumId w:val="33"/>
  </w:num>
  <w:num w:numId="41">
    <w:abstractNumId w:val="36"/>
  </w:num>
  <w:num w:numId="42">
    <w:abstractNumId w:val="11"/>
  </w:num>
  <w:num w:numId="43">
    <w:abstractNumId w:val="15"/>
  </w:num>
  <w:num w:numId="44">
    <w:abstractNumId w:val="42"/>
  </w:num>
  <w:num w:numId="45">
    <w:abstractNumId w:val="5"/>
  </w:num>
  <w:num w:numId="46">
    <w:abstractNumId w:val="8"/>
  </w:num>
  <w:num w:numId="47">
    <w:abstractNumId w:val="28"/>
  </w:num>
  <w:num w:numId="48">
    <w:abstractNumId w:val="4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9"/>
  <w:hyphenationZone w:val="425"/>
  <w:characterSpacingControl w:val="doNotCompress"/>
  <w:hdrShapeDefaults>
    <o:shapedefaults v:ext="edit" spidmax="2170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153"/>
    <w:rsid w:val="0000075A"/>
    <w:rsid w:val="00000C75"/>
    <w:rsid w:val="00001474"/>
    <w:rsid w:val="00001614"/>
    <w:rsid w:val="00002920"/>
    <w:rsid w:val="00004BA1"/>
    <w:rsid w:val="00005AFB"/>
    <w:rsid w:val="0000724D"/>
    <w:rsid w:val="000113AD"/>
    <w:rsid w:val="00013077"/>
    <w:rsid w:val="0001338A"/>
    <w:rsid w:val="000136D9"/>
    <w:rsid w:val="00015306"/>
    <w:rsid w:val="000159A3"/>
    <w:rsid w:val="000169FA"/>
    <w:rsid w:val="00020253"/>
    <w:rsid w:val="0002246A"/>
    <w:rsid w:val="00022751"/>
    <w:rsid w:val="00024C61"/>
    <w:rsid w:val="0002674B"/>
    <w:rsid w:val="00030BA4"/>
    <w:rsid w:val="000315EE"/>
    <w:rsid w:val="00031841"/>
    <w:rsid w:val="00032F09"/>
    <w:rsid w:val="00037A52"/>
    <w:rsid w:val="000403FF"/>
    <w:rsid w:val="00040E24"/>
    <w:rsid w:val="0004162E"/>
    <w:rsid w:val="00043DBD"/>
    <w:rsid w:val="000460DB"/>
    <w:rsid w:val="00046ECF"/>
    <w:rsid w:val="0004786B"/>
    <w:rsid w:val="0005085A"/>
    <w:rsid w:val="0005261E"/>
    <w:rsid w:val="00052CF7"/>
    <w:rsid w:val="00052D03"/>
    <w:rsid w:val="0005308C"/>
    <w:rsid w:val="000539BB"/>
    <w:rsid w:val="00056147"/>
    <w:rsid w:val="000576BB"/>
    <w:rsid w:val="00063405"/>
    <w:rsid w:val="0006540E"/>
    <w:rsid w:val="00066172"/>
    <w:rsid w:val="00071427"/>
    <w:rsid w:val="00072BF6"/>
    <w:rsid w:val="00074207"/>
    <w:rsid w:val="000753C2"/>
    <w:rsid w:val="0007717F"/>
    <w:rsid w:val="000809B9"/>
    <w:rsid w:val="00080C79"/>
    <w:rsid w:val="0008241A"/>
    <w:rsid w:val="0008420B"/>
    <w:rsid w:val="000851E0"/>
    <w:rsid w:val="0008559D"/>
    <w:rsid w:val="000871AE"/>
    <w:rsid w:val="00090B40"/>
    <w:rsid w:val="0009375A"/>
    <w:rsid w:val="00095A0A"/>
    <w:rsid w:val="00095F27"/>
    <w:rsid w:val="000A04BD"/>
    <w:rsid w:val="000A5758"/>
    <w:rsid w:val="000B086A"/>
    <w:rsid w:val="000B1B3D"/>
    <w:rsid w:val="000B2099"/>
    <w:rsid w:val="000B513E"/>
    <w:rsid w:val="000B69CD"/>
    <w:rsid w:val="000C21E1"/>
    <w:rsid w:val="000C2F21"/>
    <w:rsid w:val="000C36FD"/>
    <w:rsid w:val="000C3F16"/>
    <w:rsid w:val="000C4CAF"/>
    <w:rsid w:val="000C7C7D"/>
    <w:rsid w:val="000D4889"/>
    <w:rsid w:val="000D579D"/>
    <w:rsid w:val="000D594C"/>
    <w:rsid w:val="000D6460"/>
    <w:rsid w:val="000E01F7"/>
    <w:rsid w:val="000E1FA4"/>
    <w:rsid w:val="000E2CB1"/>
    <w:rsid w:val="000E3C03"/>
    <w:rsid w:val="000E4D2E"/>
    <w:rsid w:val="000E677D"/>
    <w:rsid w:val="000F0E22"/>
    <w:rsid w:val="000F6530"/>
    <w:rsid w:val="000F72CD"/>
    <w:rsid w:val="0010331C"/>
    <w:rsid w:val="001034E4"/>
    <w:rsid w:val="001038BF"/>
    <w:rsid w:val="00106BE3"/>
    <w:rsid w:val="0011699E"/>
    <w:rsid w:val="00116BF7"/>
    <w:rsid w:val="0011768B"/>
    <w:rsid w:val="00120A02"/>
    <w:rsid w:val="00120DEB"/>
    <w:rsid w:val="00121485"/>
    <w:rsid w:val="0012228A"/>
    <w:rsid w:val="0012505C"/>
    <w:rsid w:val="001267A5"/>
    <w:rsid w:val="00136D1C"/>
    <w:rsid w:val="00142776"/>
    <w:rsid w:val="001500C1"/>
    <w:rsid w:val="001512D7"/>
    <w:rsid w:val="00152557"/>
    <w:rsid w:val="00152F46"/>
    <w:rsid w:val="00157ADB"/>
    <w:rsid w:val="00163BED"/>
    <w:rsid w:val="00164974"/>
    <w:rsid w:val="0017091F"/>
    <w:rsid w:val="001716F3"/>
    <w:rsid w:val="001729F7"/>
    <w:rsid w:val="00172A1F"/>
    <w:rsid w:val="00172C0A"/>
    <w:rsid w:val="00174896"/>
    <w:rsid w:val="00175F16"/>
    <w:rsid w:val="00177B01"/>
    <w:rsid w:val="0018051B"/>
    <w:rsid w:val="001808CD"/>
    <w:rsid w:val="00181336"/>
    <w:rsid w:val="001870BC"/>
    <w:rsid w:val="00187D6A"/>
    <w:rsid w:val="00191105"/>
    <w:rsid w:val="00192F98"/>
    <w:rsid w:val="001930A9"/>
    <w:rsid w:val="00195908"/>
    <w:rsid w:val="00195975"/>
    <w:rsid w:val="001A04EF"/>
    <w:rsid w:val="001A43AF"/>
    <w:rsid w:val="001A53E6"/>
    <w:rsid w:val="001A5901"/>
    <w:rsid w:val="001A6D43"/>
    <w:rsid w:val="001B09B1"/>
    <w:rsid w:val="001B1075"/>
    <w:rsid w:val="001B1E4A"/>
    <w:rsid w:val="001C2BAB"/>
    <w:rsid w:val="001C50C6"/>
    <w:rsid w:val="001C7208"/>
    <w:rsid w:val="001C7D9A"/>
    <w:rsid w:val="001D12BC"/>
    <w:rsid w:val="001D161C"/>
    <w:rsid w:val="001D27C0"/>
    <w:rsid w:val="001D2AAC"/>
    <w:rsid w:val="001D2CA5"/>
    <w:rsid w:val="001D2FA9"/>
    <w:rsid w:val="001D48A4"/>
    <w:rsid w:val="001D62A9"/>
    <w:rsid w:val="001E00B5"/>
    <w:rsid w:val="001E41FE"/>
    <w:rsid w:val="001E4C8C"/>
    <w:rsid w:val="001E515A"/>
    <w:rsid w:val="001E601A"/>
    <w:rsid w:val="001E74C3"/>
    <w:rsid w:val="001F1364"/>
    <w:rsid w:val="001F183A"/>
    <w:rsid w:val="001F521D"/>
    <w:rsid w:val="001F667B"/>
    <w:rsid w:val="001F67B7"/>
    <w:rsid w:val="001F6937"/>
    <w:rsid w:val="002005C3"/>
    <w:rsid w:val="0020331D"/>
    <w:rsid w:val="002072FF"/>
    <w:rsid w:val="002179C7"/>
    <w:rsid w:val="00217CAE"/>
    <w:rsid w:val="00220DE3"/>
    <w:rsid w:val="00222A1A"/>
    <w:rsid w:val="00222D4D"/>
    <w:rsid w:val="002342AB"/>
    <w:rsid w:val="00237232"/>
    <w:rsid w:val="002400FB"/>
    <w:rsid w:val="0024101E"/>
    <w:rsid w:val="00241318"/>
    <w:rsid w:val="0024743D"/>
    <w:rsid w:val="00247521"/>
    <w:rsid w:val="00250158"/>
    <w:rsid w:val="00251901"/>
    <w:rsid w:val="0025290D"/>
    <w:rsid w:val="00255C64"/>
    <w:rsid w:val="00260372"/>
    <w:rsid w:val="00261A9F"/>
    <w:rsid w:val="00262DAF"/>
    <w:rsid w:val="00263DF0"/>
    <w:rsid w:val="002662BD"/>
    <w:rsid w:val="00266CEC"/>
    <w:rsid w:val="00270849"/>
    <w:rsid w:val="0027215D"/>
    <w:rsid w:val="00273660"/>
    <w:rsid w:val="002807E3"/>
    <w:rsid w:val="00282032"/>
    <w:rsid w:val="00282774"/>
    <w:rsid w:val="00282F5C"/>
    <w:rsid w:val="00285AED"/>
    <w:rsid w:val="00287AA9"/>
    <w:rsid w:val="002902A7"/>
    <w:rsid w:val="00292504"/>
    <w:rsid w:val="00295AF1"/>
    <w:rsid w:val="00295B96"/>
    <w:rsid w:val="002976E3"/>
    <w:rsid w:val="002A0DCD"/>
    <w:rsid w:val="002A2CC3"/>
    <w:rsid w:val="002A33A1"/>
    <w:rsid w:val="002A42DF"/>
    <w:rsid w:val="002B078C"/>
    <w:rsid w:val="002B23F8"/>
    <w:rsid w:val="002B73D9"/>
    <w:rsid w:val="002C3BCC"/>
    <w:rsid w:val="002C6016"/>
    <w:rsid w:val="002C6306"/>
    <w:rsid w:val="002C7E7B"/>
    <w:rsid w:val="002D0551"/>
    <w:rsid w:val="002D08D5"/>
    <w:rsid w:val="002D1C55"/>
    <w:rsid w:val="002D2091"/>
    <w:rsid w:val="002E1B59"/>
    <w:rsid w:val="002E2442"/>
    <w:rsid w:val="002E65BF"/>
    <w:rsid w:val="002F0E8C"/>
    <w:rsid w:val="002F3D89"/>
    <w:rsid w:val="002F4C74"/>
    <w:rsid w:val="002F5824"/>
    <w:rsid w:val="002F6964"/>
    <w:rsid w:val="002F7EFE"/>
    <w:rsid w:val="00300DBE"/>
    <w:rsid w:val="00305352"/>
    <w:rsid w:val="0030650E"/>
    <w:rsid w:val="003075ED"/>
    <w:rsid w:val="00310FA0"/>
    <w:rsid w:val="0031601B"/>
    <w:rsid w:val="00320481"/>
    <w:rsid w:val="003250CB"/>
    <w:rsid w:val="0032667B"/>
    <w:rsid w:val="003269A3"/>
    <w:rsid w:val="003441F0"/>
    <w:rsid w:val="00344C11"/>
    <w:rsid w:val="00350EBC"/>
    <w:rsid w:val="003510E2"/>
    <w:rsid w:val="00353407"/>
    <w:rsid w:val="00353A80"/>
    <w:rsid w:val="00356AFF"/>
    <w:rsid w:val="00356BEC"/>
    <w:rsid w:val="00357504"/>
    <w:rsid w:val="00357A3D"/>
    <w:rsid w:val="00363201"/>
    <w:rsid w:val="003647ED"/>
    <w:rsid w:val="003652F7"/>
    <w:rsid w:val="00365DF1"/>
    <w:rsid w:val="003678B3"/>
    <w:rsid w:val="00370B6D"/>
    <w:rsid w:val="00370D91"/>
    <w:rsid w:val="00376E78"/>
    <w:rsid w:val="00377C01"/>
    <w:rsid w:val="0038020D"/>
    <w:rsid w:val="00384A94"/>
    <w:rsid w:val="003866E3"/>
    <w:rsid w:val="0039063C"/>
    <w:rsid w:val="00391607"/>
    <w:rsid w:val="00395DAD"/>
    <w:rsid w:val="00395E8E"/>
    <w:rsid w:val="003A23A3"/>
    <w:rsid w:val="003A2A7D"/>
    <w:rsid w:val="003A46A8"/>
    <w:rsid w:val="003A4DCF"/>
    <w:rsid w:val="003A51AA"/>
    <w:rsid w:val="003A7374"/>
    <w:rsid w:val="003A73C2"/>
    <w:rsid w:val="003A76BA"/>
    <w:rsid w:val="003B124A"/>
    <w:rsid w:val="003B21C1"/>
    <w:rsid w:val="003B565A"/>
    <w:rsid w:val="003C06AA"/>
    <w:rsid w:val="003C54D6"/>
    <w:rsid w:val="003D00A1"/>
    <w:rsid w:val="003D1DEA"/>
    <w:rsid w:val="003E44FB"/>
    <w:rsid w:val="003E4AD1"/>
    <w:rsid w:val="003E5C51"/>
    <w:rsid w:val="003E5D43"/>
    <w:rsid w:val="003E6E2E"/>
    <w:rsid w:val="003F1D2C"/>
    <w:rsid w:val="003F4974"/>
    <w:rsid w:val="003F4E47"/>
    <w:rsid w:val="003F65B1"/>
    <w:rsid w:val="00400F30"/>
    <w:rsid w:val="00401AF0"/>
    <w:rsid w:val="004063B4"/>
    <w:rsid w:val="00412793"/>
    <w:rsid w:val="0041427F"/>
    <w:rsid w:val="00417529"/>
    <w:rsid w:val="004225CF"/>
    <w:rsid w:val="0042658C"/>
    <w:rsid w:val="00430541"/>
    <w:rsid w:val="004308E3"/>
    <w:rsid w:val="00430963"/>
    <w:rsid w:val="0043137D"/>
    <w:rsid w:val="004319BF"/>
    <w:rsid w:val="00444BF5"/>
    <w:rsid w:val="004504EA"/>
    <w:rsid w:val="004509E5"/>
    <w:rsid w:val="00453741"/>
    <w:rsid w:val="00457E80"/>
    <w:rsid w:val="004605AB"/>
    <w:rsid w:val="004615BB"/>
    <w:rsid w:val="00464666"/>
    <w:rsid w:val="00470BE7"/>
    <w:rsid w:val="004743EE"/>
    <w:rsid w:val="004753C4"/>
    <w:rsid w:val="00476171"/>
    <w:rsid w:val="00476A39"/>
    <w:rsid w:val="00486FB9"/>
    <w:rsid w:val="004877A3"/>
    <w:rsid w:val="00487B7C"/>
    <w:rsid w:val="00487F6E"/>
    <w:rsid w:val="004942DD"/>
    <w:rsid w:val="0049435E"/>
    <w:rsid w:val="00495A1B"/>
    <w:rsid w:val="00497D2C"/>
    <w:rsid w:val="004A0F91"/>
    <w:rsid w:val="004A1ECD"/>
    <w:rsid w:val="004A4879"/>
    <w:rsid w:val="004B062F"/>
    <w:rsid w:val="004B5D60"/>
    <w:rsid w:val="004C1586"/>
    <w:rsid w:val="004C212A"/>
    <w:rsid w:val="004C5B7A"/>
    <w:rsid w:val="004D3AFF"/>
    <w:rsid w:val="004D6684"/>
    <w:rsid w:val="004E3EA7"/>
    <w:rsid w:val="004E6D4D"/>
    <w:rsid w:val="004F0084"/>
    <w:rsid w:val="004F0373"/>
    <w:rsid w:val="004F1C9F"/>
    <w:rsid w:val="004F4142"/>
    <w:rsid w:val="004F4699"/>
    <w:rsid w:val="00500232"/>
    <w:rsid w:val="00504668"/>
    <w:rsid w:val="00505ADA"/>
    <w:rsid w:val="005062F9"/>
    <w:rsid w:val="0051194A"/>
    <w:rsid w:val="005137AF"/>
    <w:rsid w:val="00517BAE"/>
    <w:rsid w:val="0053115F"/>
    <w:rsid w:val="00531B09"/>
    <w:rsid w:val="0053294B"/>
    <w:rsid w:val="0053401D"/>
    <w:rsid w:val="00537366"/>
    <w:rsid w:val="0054475D"/>
    <w:rsid w:val="00544EB6"/>
    <w:rsid w:val="005451E2"/>
    <w:rsid w:val="005455E1"/>
    <w:rsid w:val="005502BD"/>
    <w:rsid w:val="00551166"/>
    <w:rsid w:val="00554EFE"/>
    <w:rsid w:val="00556787"/>
    <w:rsid w:val="00557157"/>
    <w:rsid w:val="0055783C"/>
    <w:rsid w:val="00562AE7"/>
    <w:rsid w:val="0056702D"/>
    <w:rsid w:val="00571247"/>
    <w:rsid w:val="00572691"/>
    <w:rsid w:val="00572ACC"/>
    <w:rsid w:val="005731BD"/>
    <w:rsid w:val="00577F23"/>
    <w:rsid w:val="005803B4"/>
    <w:rsid w:val="00582182"/>
    <w:rsid w:val="0058279D"/>
    <w:rsid w:val="00583AD0"/>
    <w:rsid w:val="00585C0C"/>
    <w:rsid w:val="00585E74"/>
    <w:rsid w:val="005876A4"/>
    <w:rsid w:val="005902B2"/>
    <w:rsid w:val="00592B1A"/>
    <w:rsid w:val="00594E33"/>
    <w:rsid w:val="00596461"/>
    <w:rsid w:val="005964DF"/>
    <w:rsid w:val="005A2BA6"/>
    <w:rsid w:val="005A36DC"/>
    <w:rsid w:val="005A3D94"/>
    <w:rsid w:val="005A632E"/>
    <w:rsid w:val="005B0FC2"/>
    <w:rsid w:val="005B1A43"/>
    <w:rsid w:val="005B1E2A"/>
    <w:rsid w:val="005B65BB"/>
    <w:rsid w:val="005C0348"/>
    <w:rsid w:val="005C0386"/>
    <w:rsid w:val="005C1448"/>
    <w:rsid w:val="005C1C2C"/>
    <w:rsid w:val="005C2560"/>
    <w:rsid w:val="005C348E"/>
    <w:rsid w:val="005C53F5"/>
    <w:rsid w:val="005C7EAA"/>
    <w:rsid w:val="005C7F27"/>
    <w:rsid w:val="005D55EA"/>
    <w:rsid w:val="005D5B85"/>
    <w:rsid w:val="005D6481"/>
    <w:rsid w:val="005E5A15"/>
    <w:rsid w:val="005E63BB"/>
    <w:rsid w:val="005F275F"/>
    <w:rsid w:val="005F5B8B"/>
    <w:rsid w:val="005F6089"/>
    <w:rsid w:val="005F6F39"/>
    <w:rsid w:val="005F7585"/>
    <w:rsid w:val="0060009C"/>
    <w:rsid w:val="006012C7"/>
    <w:rsid w:val="006033F4"/>
    <w:rsid w:val="0060349A"/>
    <w:rsid w:val="006037E1"/>
    <w:rsid w:val="0060429A"/>
    <w:rsid w:val="00604834"/>
    <w:rsid w:val="00605759"/>
    <w:rsid w:val="00607FDB"/>
    <w:rsid w:val="00610EC2"/>
    <w:rsid w:val="006114F2"/>
    <w:rsid w:val="00613C5A"/>
    <w:rsid w:val="00613CF5"/>
    <w:rsid w:val="00614BA8"/>
    <w:rsid w:val="00615CF0"/>
    <w:rsid w:val="006160D6"/>
    <w:rsid w:val="006160F8"/>
    <w:rsid w:val="0062002C"/>
    <w:rsid w:val="00623537"/>
    <w:rsid w:val="00633BA0"/>
    <w:rsid w:val="00641273"/>
    <w:rsid w:val="00644CA8"/>
    <w:rsid w:val="006472FA"/>
    <w:rsid w:val="00650C6C"/>
    <w:rsid w:val="00650D5F"/>
    <w:rsid w:val="00652BF2"/>
    <w:rsid w:val="00652FE6"/>
    <w:rsid w:val="00655DEC"/>
    <w:rsid w:val="006623BD"/>
    <w:rsid w:val="00662613"/>
    <w:rsid w:val="006673F2"/>
    <w:rsid w:val="00667898"/>
    <w:rsid w:val="0067062B"/>
    <w:rsid w:val="006709F5"/>
    <w:rsid w:val="0067234A"/>
    <w:rsid w:val="00672FDF"/>
    <w:rsid w:val="00674371"/>
    <w:rsid w:val="006765BA"/>
    <w:rsid w:val="00677FE0"/>
    <w:rsid w:val="006826BC"/>
    <w:rsid w:val="00682993"/>
    <w:rsid w:val="0068727A"/>
    <w:rsid w:val="00687AC3"/>
    <w:rsid w:val="00690BF2"/>
    <w:rsid w:val="006916E0"/>
    <w:rsid w:val="006930D3"/>
    <w:rsid w:val="00694965"/>
    <w:rsid w:val="006959B1"/>
    <w:rsid w:val="006973F6"/>
    <w:rsid w:val="006A0F5D"/>
    <w:rsid w:val="006A2013"/>
    <w:rsid w:val="006A2CF0"/>
    <w:rsid w:val="006A305E"/>
    <w:rsid w:val="006A3E80"/>
    <w:rsid w:val="006A6DA2"/>
    <w:rsid w:val="006B0A2E"/>
    <w:rsid w:val="006B0E6F"/>
    <w:rsid w:val="006B243E"/>
    <w:rsid w:val="006C2FB2"/>
    <w:rsid w:val="006C353A"/>
    <w:rsid w:val="006C4EBC"/>
    <w:rsid w:val="006D04EF"/>
    <w:rsid w:val="006D4ADF"/>
    <w:rsid w:val="006E22D8"/>
    <w:rsid w:val="006E2FB0"/>
    <w:rsid w:val="006E4E51"/>
    <w:rsid w:val="006E7A76"/>
    <w:rsid w:val="006F2423"/>
    <w:rsid w:val="00700304"/>
    <w:rsid w:val="0070516C"/>
    <w:rsid w:val="0070611A"/>
    <w:rsid w:val="0070618F"/>
    <w:rsid w:val="0070796C"/>
    <w:rsid w:val="007102D2"/>
    <w:rsid w:val="00710857"/>
    <w:rsid w:val="007110AB"/>
    <w:rsid w:val="00711C40"/>
    <w:rsid w:val="00712D9C"/>
    <w:rsid w:val="00713948"/>
    <w:rsid w:val="0071431E"/>
    <w:rsid w:val="00717301"/>
    <w:rsid w:val="00723C2B"/>
    <w:rsid w:val="007275C9"/>
    <w:rsid w:val="00730DBA"/>
    <w:rsid w:val="00732403"/>
    <w:rsid w:val="00733544"/>
    <w:rsid w:val="0073741A"/>
    <w:rsid w:val="00740CE9"/>
    <w:rsid w:val="007411FB"/>
    <w:rsid w:val="007421C4"/>
    <w:rsid w:val="00744FC7"/>
    <w:rsid w:val="007458C7"/>
    <w:rsid w:val="007533FF"/>
    <w:rsid w:val="00753A27"/>
    <w:rsid w:val="00755BDE"/>
    <w:rsid w:val="00756B0E"/>
    <w:rsid w:val="00757833"/>
    <w:rsid w:val="00760F00"/>
    <w:rsid w:val="00762A30"/>
    <w:rsid w:val="00762CA1"/>
    <w:rsid w:val="00764468"/>
    <w:rsid w:val="00765CB9"/>
    <w:rsid w:val="00770A10"/>
    <w:rsid w:val="00771654"/>
    <w:rsid w:val="00775868"/>
    <w:rsid w:val="00777972"/>
    <w:rsid w:val="00780461"/>
    <w:rsid w:val="0078131A"/>
    <w:rsid w:val="007902A0"/>
    <w:rsid w:val="007904D7"/>
    <w:rsid w:val="00793242"/>
    <w:rsid w:val="007933D9"/>
    <w:rsid w:val="0079342A"/>
    <w:rsid w:val="0079438C"/>
    <w:rsid w:val="007A324D"/>
    <w:rsid w:val="007A3678"/>
    <w:rsid w:val="007A509A"/>
    <w:rsid w:val="007B1126"/>
    <w:rsid w:val="007B2A2F"/>
    <w:rsid w:val="007B4949"/>
    <w:rsid w:val="007B56EC"/>
    <w:rsid w:val="007B5BDE"/>
    <w:rsid w:val="007B615F"/>
    <w:rsid w:val="007B64D1"/>
    <w:rsid w:val="007B70A6"/>
    <w:rsid w:val="007B7643"/>
    <w:rsid w:val="007C1274"/>
    <w:rsid w:val="007C1F2C"/>
    <w:rsid w:val="007C3104"/>
    <w:rsid w:val="007C4694"/>
    <w:rsid w:val="007D163B"/>
    <w:rsid w:val="007D57E8"/>
    <w:rsid w:val="007D7108"/>
    <w:rsid w:val="007D7C7E"/>
    <w:rsid w:val="007E2465"/>
    <w:rsid w:val="007E54B2"/>
    <w:rsid w:val="007E7F04"/>
    <w:rsid w:val="007F0BC6"/>
    <w:rsid w:val="007F21E8"/>
    <w:rsid w:val="007F48DE"/>
    <w:rsid w:val="007F7B7D"/>
    <w:rsid w:val="00801879"/>
    <w:rsid w:val="008052FE"/>
    <w:rsid w:val="0080551D"/>
    <w:rsid w:val="00812845"/>
    <w:rsid w:val="00814775"/>
    <w:rsid w:val="00815381"/>
    <w:rsid w:val="00815592"/>
    <w:rsid w:val="00821320"/>
    <w:rsid w:val="00822AF7"/>
    <w:rsid w:val="0082446A"/>
    <w:rsid w:val="00824601"/>
    <w:rsid w:val="00824D6F"/>
    <w:rsid w:val="00831374"/>
    <w:rsid w:val="0083416C"/>
    <w:rsid w:val="008347AB"/>
    <w:rsid w:val="00842FBB"/>
    <w:rsid w:val="0084422D"/>
    <w:rsid w:val="00846565"/>
    <w:rsid w:val="00847DF7"/>
    <w:rsid w:val="008519CC"/>
    <w:rsid w:val="0085349D"/>
    <w:rsid w:val="008534CE"/>
    <w:rsid w:val="00854457"/>
    <w:rsid w:val="00854665"/>
    <w:rsid w:val="0085650A"/>
    <w:rsid w:val="00857580"/>
    <w:rsid w:val="00857A1E"/>
    <w:rsid w:val="00862555"/>
    <w:rsid w:val="008632FA"/>
    <w:rsid w:val="00865238"/>
    <w:rsid w:val="008667BF"/>
    <w:rsid w:val="0087377E"/>
    <w:rsid w:val="0087536B"/>
    <w:rsid w:val="008842EC"/>
    <w:rsid w:val="00887A58"/>
    <w:rsid w:val="00891B5F"/>
    <w:rsid w:val="00892B29"/>
    <w:rsid w:val="00892B82"/>
    <w:rsid w:val="008941A6"/>
    <w:rsid w:val="00895645"/>
    <w:rsid w:val="00896743"/>
    <w:rsid w:val="008A0EEC"/>
    <w:rsid w:val="008A3D89"/>
    <w:rsid w:val="008A487D"/>
    <w:rsid w:val="008A4DC4"/>
    <w:rsid w:val="008B01D6"/>
    <w:rsid w:val="008B024B"/>
    <w:rsid w:val="008B0B2F"/>
    <w:rsid w:val="008B4562"/>
    <w:rsid w:val="008B4A28"/>
    <w:rsid w:val="008B7774"/>
    <w:rsid w:val="008C0774"/>
    <w:rsid w:val="008C3782"/>
    <w:rsid w:val="008C4A99"/>
    <w:rsid w:val="008D4A32"/>
    <w:rsid w:val="008D593A"/>
    <w:rsid w:val="008D6096"/>
    <w:rsid w:val="008E0A70"/>
    <w:rsid w:val="008E2725"/>
    <w:rsid w:val="008E7453"/>
    <w:rsid w:val="008E7760"/>
    <w:rsid w:val="008F0913"/>
    <w:rsid w:val="008F2C0B"/>
    <w:rsid w:val="008F5776"/>
    <w:rsid w:val="008F69EB"/>
    <w:rsid w:val="00901236"/>
    <w:rsid w:val="0090242A"/>
    <w:rsid w:val="009101E2"/>
    <w:rsid w:val="00913653"/>
    <w:rsid w:val="00915AF6"/>
    <w:rsid w:val="0091708E"/>
    <w:rsid w:val="00917587"/>
    <w:rsid w:val="00917924"/>
    <w:rsid w:val="00917EBA"/>
    <w:rsid w:val="00922001"/>
    <w:rsid w:val="00922C17"/>
    <w:rsid w:val="009241CE"/>
    <w:rsid w:val="0092486B"/>
    <w:rsid w:val="009336B9"/>
    <w:rsid w:val="00933A12"/>
    <w:rsid w:val="00934828"/>
    <w:rsid w:val="00936DEE"/>
    <w:rsid w:val="00942DDD"/>
    <w:rsid w:val="00944896"/>
    <w:rsid w:val="00944EA8"/>
    <w:rsid w:val="00945C63"/>
    <w:rsid w:val="009516A8"/>
    <w:rsid w:val="00972867"/>
    <w:rsid w:val="00974EBC"/>
    <w:rsid w:val="00975BBF"/>
    <w:rsid w:val="0097705C"/>
    <w:rsid w:val="00980BA6"/>
    <w:rsid w:val="0098268C"/>
    <w:rsid w:val="0099366D"/>
    <w:rsid w:val="00995153"/>
    <w:rsid w:val="009A0451"/>
    <w:rsid w:val="009A305A"/>
    <w:rsid w:val="009A6452"/>
    <w:rsid w:val="009A666F"/>
    <w:rsid w:val="009A6CD5"/>
    <w:rsid w:val="009B1C10"/>
    <w:rsid w:val="009B52EF"/>
    <w:rsid w:val="009B5B0A"/>
    <w:rsid w:val="009B66B4"/>
    <w:rsid w:val="009C2197"/>
    <w:rsid w:val="009C2A72"/>
    <w:rsid w:val="009C43A7"/>
    <w:rsid w:val="009C5354"/>
    <w:rsid w:val="009C6671"/>
    <w:rsid w:val="009C79BC"/>
    <w:rsid w:val="009D1C2D"/>
    <w:rsid w:val="009D4825"/>
    <w:rsid w:val="009E37F6"/>
    <w:rsid w:val="009E4D16"/>
    <w:rsid w:val="009E622C"/>
    <w:rsid w:val="009F26B4"/>
    <w:rsid w:val="009F3747"/>
    <w:rsid w:val="009F393D"/>
    <w:rsid w:val="009F5142"/>
    <w:rsid w:val="009F65E1"/>
    <w:rsid w:val="009F6AFC"/>
    <w:rsid w:val="009F7E72"/>
    <w:rsid w:val="009F7F46"/>
    <w:rsid w:val="00A000BF"/>
    <w:rsid w:val="00A01834"/>
    <w:rsid w:val="00A032A6"/>
    <w:rsid w:val="00A0587E"/>
    <w:rsid w:val="00A06F3E"/>
    <w:rsid w:val="00A111CC"/>
    <w:rsid w:val="00A22EC1"/>
    <w:rsid w:val="00A263EE"/>
    <w:rsid w:val="00A275BC"/>
    <w:rsid w:val="00A309FF"/>
    <w:rsid w:val="00A42B68"/>
    <w:rsid w:val="00A4509B"/>
    <w:rsid w:val="00A464B4"/>
    <w:rsid w:val="00A54266"/>
    <w:rsid w:val="00A56857"/>
    <w:rsid w:val="00A56D42"/>
    <w:rsid w:val="00A56DA4"/>
    <w:rsid w:val="00A620B4"/>
    <w:rsid w:val="00A63907"/>
    <w:rsid w:val="00A63D6B"/>
    <w:rsid w:val="00A64E32"/>
    <w:rsid w:val="00A6595C"/>
    <w:rsid w:val="00A7392F"/>
    <w:rsid w:val="00A74D72"/>
    <w:rsid w:val="00A766B9"/>
    <w:rsid w:val="00A77A7D"/>
    <w:rsid w:val="00A803DF"/>
    <w:rsid w:val="00A8398E"/>
    <w:rsid w:val="00A83B28"/>
    <w:rsid w:val="00A8494B"/>
    <w:rsid w:val="00A84B52"/>
    <w:rsid w:val="00A84D22"/>
    <w:rsid w:val="00A8660F"/>
    <w:rsid w:val="00A87CBF"/>
    <w:rsid w:val="00A95C48"/>
    <w:rsid w:val="00A96321"/>
    <w:rsid w:val="00A976E7"/>
    <w:rsid w:val="00AA0DCB"/>
    <w:rsid w:val="00AA3C29"/>
    <w:rsid w:val="00AA7056"/>
    <w:rsid w:val="00AA7A40"/>
    <w:rsid w:val="00AB2433"/>
    <w:rsid w:val="00AB2F57"/>
    <w:rsid w:val="00AB31C6"/>
    <w:rsid w:val="00AB4A9C"/>
    <w:rsid w:val="00AB523B"/>
    <w:rsid w:val="00AB56B8"/>
    <w:rsid w:val="00AC0541"/>
    <w:rsid w:val="00AC06C9"/>
    <w:rsid w:val="00AD02DC"/>
    <w:rsid w:val="00AD10FC"/>
    <w:rsid w:val="00AD1B6C"/>
    <w:rsid w:val="00AD221B"/>
    <w:rsid w:val="00AD23EE"/>
    <w:rsid w:val="00AD7E40"/>
    <w:rsid w:val="00AE2D77"/>
    <w:rsid w:val="00AE2F31"/>
    <w:rsid w:val="00AE3D82"/>
    <w:rsid w:val="00AE663E"/>
    <w:rsid w:val="00AE748D"/>
    <w:rsid w:val="00AF04EB"/>
    <w:rsid w:val="00B02AC5"/>
    <w:rsid w:val="00B030AE"/>
    <w:rsid w:val="00B03B4D"/>
    <w:rsid w:val="00B0419F"/>
    <w:rsid w:val="00B04F94"/>
    <w:rsid w:val="00B10CE5"/>
    <w:rsid w:val="00B1477A"/>
    <w:rsid w:val="00B15B21"/>
    <w:rsid w:val="00B15CA2"/>
    <w:rsid w:val="00B20993"/>
    <w:rsid w:val="00B256AC"/>
    <w:rsid w:val="00B26C46"/>
    <w:rsid w:val="00B32D79"/>
    <w:rsid w:val="00B34858"/>
    <w:rsid w:val="00B3553D"/>
    <w:rsid w:val="00B400FE"/>
    <w:rsid w:val="00B42E96"/>
    <w:rsid w:val="00B46A23"/>
    <w:rsid w:val="00B5048D"/>
    <w:rsid w:val="00B50EE6"/>
    <w:rsid w:val="00B52185"/>
    <w:rsid w:val="00B55805"/>
    <w:rsid w:val="00B57E6D"/>
    <w:rsid w:val="00B61704"/>
    <w:rsid w:val="00B62838"/>
    <w:rsid w:val="00B64021"/>
    <w:rsid w:val="00B658D8"/>
    <w:rsid w:val="00B65BF1"/>
    <w:rsid w:val="00B66228"/>
    <w:rsid w:val="00B66F13"/>
    <w:rsid w:val="00B67A23"/>
    <w:rsid w:val="00B7434F"/>
    <w:rsid w:val="00B8484B"/>
    <w:rsid w:val="00B85486"/>
    <w:rsid w:val="00B929ED"/>
    <w:rsid w:val="00B9753A"/>
    <w:rsid w:val="00B976C0"/>
    <w:rsid w:val="00BA0CA4"/>
    <w:rsid w:val="00BA19FE"/>
    <w:rsid w:val="00BA2423"/>
    <w:rsid w:val="00BB0441"/>
    <w:rsid w:val="00BB196A"/>
    <w:rsid w:val="00BB3D5E"/>
    <w:rsid w:val="00BB479C"/>
    <w:rsid w:val="00BB4AEF"/>
    <w:rsid w:val="00BB4BBD"/>
    <w:rsid w:val="00BB5051"/>
    <w:rsid w:val="00BB6A99"/>
    <w:rsid w:val="00BC015C"/>
    <w:rsid w:val="00BC35B3"/>
    <w:rsid w:val="00BC36F7"/>
    <w:rsid w:val="00BC4720"/>
    <w:rsid w:val="00BC4B66"/>
    <w:rsid w:val="00BC7703"/>
    <w:rsid w:val="00BD25E9"/>
    <w:rsid w:val="00BD2DAE"/>
    <w:rsid w:val="00BD7501"/>
    <w:rsid w:val="00BD75A2"/>
    <w:rsid w:val="00BD7D44"/>
    <w:rsid w:val="00BE3C56"/>
    <w:rsid w:val="00BE632E"/>
    <w:rsid w:val="00BE6A96"/>
    <w:rsid w:val="00BE7049"/>
    <w:rsid w:val="00BE7B2B"/>
    <w:rsid w:val="00BF04B3"/>
    <w:rsid w:val="00BF130A"/>
    <w:rsid w:val="00BF58A6"/>
    <w:rsid w:val="00C0040D"/>
    <w:rsid w:val="00C00C53"/>
    <w:rsid w:val="00C0123B"/>
    <w:rsid w:val="00C0240D"/>
    <w:rsid w:val="00C05121"/>
    <w:rsid w:val="00C05FE2"/>
    <w:rsid w:val="00C07A6B"/>
    <w:rsid w:val="00C10F95"/>
    <w:rsid w:val="00C17226"/>
    <w:rsid w:val="00C2017A"/>
    <w:rsid w:val="00C2026B"/>
    <w:rsid w:val="00C20470"/>
    <w:rsid w:val="00C24278"/>
    <w:rsid w:val="00C249C9"/>
    <w:rsid w:val="00C34B2F"/>
    <w:rsid w:val="00C36BAC"/>
    <w:rsid w:val="00C4183E"/>
    <w:rsid w:val="00C42024"/>
    <w:rsid w:val="00C44B63"/>
    <w:rsid w:val="00C45680"/>
    <w:rsid w:val="00C4641B"/>
    <w:rsid w:val="00C56462"/>
    <w:rsid w:val="00C56C18"/>
    <w:rsid w:val="00C56DEA"/>
    <w:rsid w:val="00C61EA6"/>
    <w:rsid w:val="00C64C24"/>
    <w:rsid w:val="00C6690E"/>
    <w:rsid w:val="00C6785A"/>
    <w:rsid w:val="00C703C5"/>
    <w:rsid w:val="00C729A7"/>
    <w:rsid w:val="00C746BF"/>
    <w:rsid w:val="00C805F2"/>
    <w:rsid w:val="00C82DD9"/>
    <w:rsid w:val="00C865B5"/>
    <w:rsid w:val="00C87FB4"/>
    <w:rsid w:val="00C904A0"/>
    <w:rsid w:val="00C924DB"/>
    <w:rsid w:val="00C924EA"/>
    <w:rsid w:val="00C93162"/>
    <w:rsid w:val="00C93294"/>
    <w:rsid w:val="00C95F75"/>
    <w:rsid w:val="00C96EFE"/>
    <w:rsid w:val="00CA2B08"/>
    <w:rsid w:val="00CA5B3A"/>
    <w:rsid w:val="00CB0D3F"/>
    <w:rsid w:val="00CB3386"/>
    <w:rsid w:val="00CB49E6"/>
    <w:rsid w:val="00CC1735"/>
    <w:rsid w:val="00CC2369"/>
    <w:rsid w:val="00CC56D9"/>
    <w:rsid w:val="00CC5E40"/>
    <w:rsid w:val="00CC6EFD"/>
    <w:rsid w:val="00CC7CE3"/>
    <w:rsid w:val="00CD2C5D"/>
    <w:rsid w:val="00CD359A"/>
    <w:rsid w:val="00CD3F5E"/>
    <w:rsid w:val="00CD5895"/>
    <w:rsid w:val="00CE2034"/>
    <w:rsid w:val="00CE518E"/>
    <w:rsid w:val="00CE7557"/>
    <w:rsid w:val="00CE7C79"/>
    <w:rsid w:val="00CF0B57"/>
    <w:rsid w:val="00CF438E"/>
    <w:rsid w:val="00CF68D9"/>
    <w:rsid w:val="00CF6D55"/>
    <w:rsid w:val="00CF7310"/>
    <w:rsid w:val="00D00CD0"/>
    <w:rsid w:val="00D02842"/>
    <w:rsid w:val="00D03D62"/>
    <w:rsid w:val="00D10DC2"/>
    <w:rsid w:val="00D12C13"/>
    <w:rsid w:val="00D1569F"/>
    <w:rsid w:val="00D20B1E"/>
    <w:rsid w:val="00D22462"/>
    <w:rsid w:val="00D230AC"/>
    <w:rsid w:val="00D240C7"/>
    <w:rsid w:val="00D269E9"/>
    <w:rsid w:val="00D30C87"/>
    <w:rsid w:val="00D32489"/>
    <w:rsid w:val="00D3349E"/>
    <w:rsid w:val="00D353C2"/>
    <w:rsid w:val="00D35FC6"/>
    <w:rsid w:val="00D410E3"/>
    <w:rsid w:val="00D41566"/>
    <w:rsid w:val="00D429E7"/>
    <w:rsid w:val="00D436F1"/>
    <w:rsid w:val="00D465BC"/>
    <w:rsid w:val="00D47089"/>
    <w:rsid w:val="00D47ACE"/>
    <w:rsid w:val="00D47F47"/>
    <w:rsid w:val="00D503E0"/>
    <w:rsid w:val="00D511C2"/>
    <w:rsid w:val="00D51571"/>
    <w:rsid w:val="00D52663"/>
    <w:rsid w:val="00D53F4A"/>
    <w:rsid w:val="00D5532E"/>
    <w:rsid w:val="00D55DE4"/>
    <w:rsid w:val="00D560D7"/>
    <w:rsid w:val="00D57506"/>
    <w:rsid w:val="00D60099"/>
    <w:rsid w:val="00D646CD"/>
    <w:rsid w:val="00D67347"/>
    <w:rsid w:val="00D71B4B"/>
    <w:rsid w:val="00D72497"/>
    <w:rsid w:val="00D7272E"/>
    <w:rsid w:val="00D73CB8"/>
    <w:rsid w:val="00D7402F"/>
    <w:rsid w:val="00D80FE9"/>
    <w:rsid w:val="00D821DE"/>
    <w:rsid w:val="00D82E4E"/>
    <w:rsid w:val="00D8395A"/>
    <w:rsid w:val="00D86688"/>
    <w:rsid w:val="00D96245"/>
    <w:rsid w:val="00D97F90"/>
    <w:rsid w:val="00DA166E"/>
    <w:rsid w:val="00DA1FA8"/>
    <w:rsid w:val="00DA499E"/>
    <w:rsid w:val="00DA5669"/>
    <w:rsid w:val="00DA7591"/>
    <w:rsid w:val="00DB09A8"/>
    <w:rsid w:val="00DB3682"/>
    <w:rsid w:val="00DB3F0F"/>
    <w:rsid w:val="00DB46D1"/>
    <w:rsid w:val="00DB7113"/>
    <w:rsid w:val="00DC2F7B"/>
    <w:rsid w:val="00DC611D"/>
    <w:rsid w:val="00DC62FC"/>
    <w:rsid w:val="00DC6710"/>
    <w:rsid w:val="00DD0127"/>
    <w:rsid w:val="00DD2604"/>
    <w:rsid w:val="00DD3977"/>
    <w:rsid w:val="00DD7756"/>
    <w:rsid w:val="00DE47F7"/>
    <w:rsid w:val="00DE5194"/>
    <w:rsid w:val="00DF08A1"/>
    <w:rsid w:val="00DF0C07"/>
    <w:rsid w:val="00DF1218"/>
    <w:rsid w:val="00DF597A"/>
    <w:rsid w:val="00DF6739"/>
    <w:rsid w:val="00DF721A"/>
    <w:rsid w:val="00E0001B"/>
    <w:rsid w:val="00E0073A"/>
    <w:rsid w:val="00E0365B"/>
    <w:rsid w:val="00E03732"/>
    <w:rsid w:val="00E043A3"/>
    <w:rsid w:val="00E047C6"/>
    <w:rsid w:val="00E050BC"/>
    <w:rsid w:val="00E05E20"/>
    <w:rsid w:val="00E1079F"/>
    <w:rsid w:val="00E14C4F"/>
    <w:rsid w:val="00E15EB2"/>
    <w:rsid w:val="00E211A6"/>
    <w:rsid w:val="00E264FC"/>
    <w:rsid w:val="00E27B7D"/>
    <w:rsid w:val="00E30A6E"/>
    <w:rsid w:val="00E32798"/>
    <w:rsid w:val="00E32953"/>
    <w:rsid w:val="00E37C99"/>
    <w:rsid w:val="00E407B7"/>
    <w:rsid w:val="00E43F22"/>
    <w:rsid w:val="00E46128"/>
    <w:rsid w:val="00E46BFA"/>
    <w:rsid w:val="00E46E41"/>
    <w:rsid w:val="00E47A46"/>
    <w:rsid w:val="00E51C91"/>
    <w:rsid w:val="00E52D4A"/>
    <w:rsid w:val="00E537D2"/>
    <w:rsid w:val="00E6582C"/>
    <w:rsid w:val="00E667C1"/>
    <w:rsid w:val="00E67402"/>
    <w:rsid w:val="00E70108"/>
    <w:rsid w:val="00E72D55"/>
    <w:rsid w:val="00E73630"/>
    <w:rsid w:val="00E77AAF"/>
    <w:rsid w:val="00E83EAF"/>
    <w:rsid w:val="00E91E48"/>
    <w:rsid w:val="00E94D83"/>
    <w:rsid w:val="00E96D4A"/>
    <w:rsid w:val="00E97BA4"/>
    <w:rsid w:val="00EA1395"/>
    <w:rsid w:val="00EA1F11"/>
    <w:rsid w:val="00EA2688"/>
    <w:rsid w:val="00EB666F"/>
    <w:rsid w:val="00EB68ED"/>
    <w:rsid w:val="00EB76B7"/>
    <w:rsid w:val="00EC102B"/>
    <w:rsid w:val="00EC20F0"/>
    <w:rsid w:val="00EC32F8"/>
    <w:rsid w:val="00EC3F88"/>
    <w:rsid w:val="00EC46EE"/>
    <w:rsid w:val="00EC74C3"/>
    <w:rsid w:val="00EC7B5A"/>
    <w:rsid w:val="00ED36D8"/>
    <w:rsid w:val="00EE1514"/>
    <w:rsid w:val="00EE156B"/>
    <w:rsid w:val="00EE1E7C"/>
    <w:rsid w:val="00EE39F8"/>
    <w:rsid w:val="00EE5E9E"/>
    <w:rsid w:val="00EE6096"/>
    <w:rsid w:val="00EE6BD7"/>
    <w:rsid w:val="00EE70C7"/>
    <w:rsid w:val="00EF2CED"/>
    <w:rsid w:val="00EF5AA1"/>
    <w:rsid w:val="00EF5D27"/>
    <w:rsid w:val="00EF71D6"/>
    <w:rsid w:val="00F00D67"/>
    <w:rsid w:val="00F01337"/>
    <w:rsid w:val="00F0213B"/>
    <w:rsid w:val="00F0241A"/>
    <w:rsid w:val="00F02EF4"/>
    <w:rsid w:val="00F0369B"/>
    <w:rsid w:val="00F051BC"/>
    <w:rsid w:val="00F0689D"/>
    <w:rsid w:val="00F1063E"/>
    <w:rsid w:val="00F13C51"/>
    <w:rsid w:val="00F14709"/>
    <w:rsid w:val="00F16F8B"/>
    <w:rsid w:val="00F22BB8"/>
    <w:rsid w:val="00F235C1"/>
    <w:rsid w:val="00F34AB3"/>
    <w:rsid w:val="00F37638"/>
    <w:rsid w:val="00F37E5D"/>
    <w:rsid w:val="00F401A4"/>
    <w:rsid w:val="00F4507A"/>
    <w:rsid w:val="00F46B7F"/>
    <w:rsid w:val="00F46C2C"/>
    <w:rsid w:val="00F50C49"/>
    <w:rsid w:val="00F56602"/>
    <w:rsid w:val="00F5785C"/>
    <w:rsid w:val="00F57A95"/>
    <w:rsid w:val="00F60CE0"/>
    <w:rsid w:val="00F63EB2"/>
    <w:rsid w:val="00F64307"/>
    <w:rsid w:val="00F64DB2"/>
    <w:rsid w:val="00F65956"/>
    <w:rsid w:val="00F66BB4"/>
    <w:rsid w:val="00F72B3A"/>
    <w:rsid w:val="00F76AD7"/>
    <w:rsid w:val="00F7700C"/>
    <w:rsid w:val="00F77380"/>
    <w:rsid w:val="00F81F19"/>
    <w:rsid w:val="00F83586"/>
    <w:rsid w:val="00F835FA"/>
    <w:rsid w:val="00F845A2"/>
    <w:rsid w:val="00F84DC2"/>
    <w:rsid w:val="00F866C2"/>
    <w:rsid w:val="00F91784"/>
    <w:rsid w:val="00F95196"/>
    <w:rsid w:val="00F958EF"/>
    <w:rsid w:val="00F964D1"/>
    <w:rsid w:val="00FA1895"/>
    <w:rsid w:val="00FB01B5"/>
    <w:rsid w:val="00FB4909"/>
    <w:rsid w:val="00FC0B39"/>
    <w:rsid w:val="00FC4292"/>
    <w:rsid w:val="00FC6600"/>
    <w:rsid w:val="00FD3A38"/>
    <w:rsid w:val="00FD5092"/>
    <w:rsid w:val="00FD5B65"/>
    <w:rsid w:val="00FD5D6A"/>
    <w:rsid w:val="00FE1C6E"/>
    <w:rsid w:val="00FE458A"/>
    <w:rsid w:val="00FE4CE5"/>
    <w:rsid w:val="00FE6105"/>
    <w:rsid w:val="00FE656F"/>
    <w:rsid w:val="00FF3F09"/>
    <w:rsid w:val="00FF6D4A"/>
    <w:rsid w:val="00FF6F41"/>
    <w:rsid w:val="00FF7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4F0088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style>
  <w:style w:type="paragraph" w:styleId="Nadpis1">
    <w:name w:val="heading 1"/>
    <w:basedOn w:val="Normln"/>
    <w:next w:val="Normln"/>
    <w:link w:val="Nadpis1Char"/>
    <w:uiPriority w:val="7"/>
    <w:qFormat/>
    <w:rsid w:val="00F65956"/>
    <w:pPr>
      <w:keepNext/>
      <w:keepLines/>
      <w:numPr>
        <w:numId w:val="9"/>
      </w:numPr>
      <w:spacing w:before="840" w:after="240"/>
      <w:ind w:left="431" w:hanging="431"/>
      <w:outlineLvl w:val="0"/>
    </w:pPr>
    <w:rPr>
      <w:rFonts w:asciiTheme="majorHAnsi" w:eastAsiaTheme="majorEastAsia" w:hAnsiTheme="majorHAnsi" w:cstheme="majorBidi"/>
      <w:b/>
      <w:color w:val="004B8D" w:themeColor="text2"/>
      <w:sz w:val="28"/>
      <w:szCs w:val="32"/>
    </w:rPr>
  </w:style>
  <w:style w:type="paragraph" w:styleId="Nadpis2">
    <w:name w:val="heading 2"/>
    <w:basedOn w:val="Normln"/>
    <w:next w:val="Normln"/>
    <w:link w:val="Nadpis2Char"/>
    <w:uiPriority w:val="7"/>
    <w:unhideWhenUsed/>
    <w:qFormat/>
    <w:rsid w:val="00AA3C29"/>
    <w:pPr>
      <w:keepNext/>
      <w:keepLines/>
      <w:numPr>
        <w:ilvl w:val="1"/>
        <w:numId w:val="9"/>
      </w:numPr>
      <w:spacing w:before="360" w:after="120"/>
      <w:ind w:left="578" w:hanging="578"/>
      <w:jc w:val="both"/>
      <w:outlineLvl w:val="1"/>
    </w:pPr>
    <w:rPr>
      <w:rFonts w:asciiTheme="majorHAnsi" w:eastAsiaTheme="majorEastAsia" w:hAnsiTheme="majorHAnsi" w:cstheme="majorBidi"/>
      <w:b/>
      <w:bCs/>
      <w:noProof/>
      <w:color w:val="004B8D" w:themeColor="text2"/>
      <w:sz w:val="26"/>
      <w:szCs w:val="26"/>
    </w:rPr>
  </w:style>
  <w:style w:type="paragraph" w:styleId="Nadpis3">
    <w:name w:val="heading 3"/>
    <w:basedOn w:val="Normln"/>
    <w:next w:val="Normln"/>
    <w:link w:val="Nadpis3Char"/>
    <w:uiPriority w:val="7"/>
    <w:unhideWhenUsed/>
    <w:qFormat/>
    <w:rsid w:val="00504668"/>
    <w:pPr>
      <w:keepNext/>
      <w:keepLines/>
      <w:numPr>
        <w:ilvl w:val="2"/>
        <w:numId w:val="9"/>
      </w:numPr>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numPr>
        <w:ilvl w:val="3"/>
        <w:numId w:val="9"/>
      </w:numPr>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numPr>
        <w:ilvl w:val="4"/>
        <w:numId w:val="9"/>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numPr>
        <w:ilvl w:val="5"/>
        <w:numId w:val="9"/>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numPr>
        <w:ilvl w:val="6"/>
        <w:numId w:val="9"/>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numPr>
        <w:ilvl w:val="7"/>
        <w:numId w:val="9"/>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F65956"/>
    <w:rPr>
      <w:rFonts w:asciiTheme="majorHAnsi" w:eastAsiaTheme="majorEastAsia" w:hAnsiTheme="majorHAnsi" w:cstheme="majorBidi"/>
      <w:b/>
      <w:color w:val="004B8D" w:themeColor="text2"/>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AA3C29"/>
    <w:rPr>
      <w:rFonts w:asciiTheme="majorHAnsi" w:eastAsiaTheme="majorEastAsia" w:hAnsiTheme="majorHAnsi" w:cstheme="majorBidi"/>
      <w:b/>
      <w:bCs/>
      <w:noProof/>
      <w:color w:val="004B8D" w:themeColor="text2"/>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styleId="Bezmezer">
    <w:name w:val="No Spacing"/>
    <w:link w:val="BezmezerChar"/>
    <w:uiPriority w:val="1"/>
    <w:qFormat/>
    <w:rsid w:val="00995153"/>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95153"/>
    <w:rPr>
      <w:rFonts w:eastAsiaTheme="minorEastAsia"/>
      <w:lang w:eastAsia="cs-CZ"/>
    </w:rPr>
  </w:style>
  <w:style w:type="paragraph" w:styleId="Titulek">
    <w:name w:val="caption"/>
    <w:basedOn w:val="Normln"/>
    <w:next w:val="Normln"/>
    <w:uiPriority w:val="37"/>
    <w:unhideWhenUsed/>
    <w:qFormat/>
    <w:rsid w:val="00A7392F"/>
    <w:pPr>
      <w:keepNext/>
      <w:spacing w:before="240" w:after="120" w:line="240" w:lineRule="auto"/>
    </w:pPr>
    <w:rPr>
      <w:b/>
      <w:i/>
      <w:iCs/>
      <w:szCs w:val="18"/>
    </w:rPr>
  </w:style>
  <w:style w:type="table" w:styleId="Mkatabulky">
    <w:name w:val="Table Grid"/>
    <w:basedOn w:val="Normlntabulka"/>
    <w:uiPriority w:val="39"/>
    <w:rsid w:val="001F1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45C63"/>
    <w:rPr>
      <w:sz w:val="16"/>
      <w:szCs w:val="16"/>
    </w:rPr>
  </w:style>
  <w:style w:type="paragraph" w:styleId="Textkomente">
    <w:name w:val="annotation text"/>
    <w:basedOn w:val="Normln"/>
    <w:link w:val="TextkomenteChar"/>
    <w:uiPriority w:val="99"/>
    <w:semiHidden/>
    <w:unhideWhenUsed/>
    <w:rsid w:val="00945C63"/>
    <w:pPr>
      <w:spacing w:line="240" w:lineRule="auto"/>
    </w:pPr>
    <w:rPr>
      <w:sz w:val="20"/>
      <w:szCs w:val="20"/>
    </w:rPr>
  </w:style>
  <w:style w:type="character" w:customStyle="1" w:styleId="TextkomenteChar">
    <w:name w:val="Text komentáře Char"/>
    <w:basedOn w:val="Standardnpsmoodstavce"/>
    <w:link w:val="Textkomente"/>
    <w:uiPriority w:val="99"/>
    <w:semiHidden/>
    <w:rsid w:val="00945C63"/>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945C63"/>
    <w:rPr>
      <w:b/>
      <w:bCs/>
    </w:rPr>
  </w:style>
  <w:style w:type="character" w:customStyle="1" w:styleId="PedmtkomenteChar">
    <w:name w:val="Předmět komentáře Char"/>
    <w:basedOn w:val="TextkomenteChar"/>
    <w:link w:val="Pedmtkomente"/>
    <w:uiPriority w:val="99"/>
    <w:semiHidden/>
    <w:rsid w:val="00945C63"/>
    <w:rPr>
      <w:b/>
      <w:bCs/>
      <w:color w:val="000000" w:themeColor="text1"/>
      <w:sz w:val="20"/>
      <w:szCs w:val="20"/>
    </w:rPr>
  </w:style>
  <w:style w:type="paragraph" w:styleId="Textbubliny">
    <w:name w:val="Balloon Text"/>
    <w:basedOn w:val="Normln"/>
    <w:link w:val="TextbublinyChar"/>
    <w:uiPriority w:val="99"/>
    <w:semiHidden/>
    <w:unhideWhenUsed/>
    <w:rsid w:val="00945C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5C63"/>
    <w:rPr>
      <w:rFonts w:ascii="Segoe UI" w:hAnsi="Segoe UI" w:cs="Segoe UI"/>
      <w:color w:val="000000" w:themeColor="text1"/>
      <w:sz w:val="18"/>
      <w:szCs w:val="18"/>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945C63"/>
    <w:pPr>
      <w:spacing w:after="200" w:line="276" w:lineRule="auto"/>
      <w:jc w:val="both"/>
    </w:pPr>
    <w:rPr>
      <w:rFonts w:eastAsiaTheme="minorEastAsia"/>
      <w:sz w:val="20"/>
      <w:szCs w:val="20"/>
      <w:lang w:eastAsia="cs-CZ"/>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45C63"/>
    <w:rPr>
      <w:rFonts w:eastAsiaTheme="minorEastAsia"/>
      <w:sz w:val="20"/>
      <w:szCs w:val="20"/>
      <w:lang w:eastAsia="cs-CZ"/>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uiPriority w:val="99"/>
    <w:rsid w:val="00945C63"/>
    <w:rPr>
      <w:vertAlign w:val="superscript"/>
    </w:rPr>
  </w:style>
  <w:style w:type="paragraph" w:styleId="Seznamobrzk">
    <w:name w:val="table of figures"/>
    <w:aliases w:val="Graf"/>
    <w:basedOn w:val="Normln"/>
    <w:next w:val="Normln"/>
    <w:uiPriority w:val="99"/>
    <w:unhideWhenUsed/>
    <w:rsid w:val="00E6582C"/>
    <w:pPr>
      <w:spacing w:after="0"/>
    </w:pPr>
  </w:style>
  <w:style w:type="paragraph" w:customStyle="1" w:styleId="Default">
    <w:name w:val="Default"/>
    <w:rsid w:val="006033F4"/>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E0365B"/>
    <w:pPr>
      <w:spacing w:after="0" w:line="240" w:lineRule="auto"/>
    </w:pPr>
  </w:style>
  <w:style w:type="character" w:styleId="Nevyeenzmnka">
    <w:name w:val="Unresolved Mention"/>
    <w:basedOn w:val="Standardnpsmoodstavce"/>
    <w:uiPriority w:val="99"/>
    <w:semiHidden/>
    <w:unhideWhenUsed/>
    <w:rsid w:val="00892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3">
      <w:bodyDiv w:val="1"/>
      <w:marLeft w:val="0"/>
      <w:marRight w:val="0"/>
      <w:marTop w:val="0"/>
      <w:marBottom w:val="0"/>
      <w:divBdr>
        <w:top w:val="none" w:sz="0" w:space="0" w:color="auto"/>
        <w:left w:val="none" w:sz="0" w:space="0" w:color="auto"/>
        <w:bottom w:val="none" w:sz="0" w:space="0" w:color="auto"/>
        <w:right w:val="none" w:sz="0" w:space="0" w:color="auto"/>
      </w:divBdr>
    </w:div>
    <w:div w:id="53548589">
      <w:bodyDiv w:val="1"/>
      <w:marLeft w:val="0"/>
      <w:marRight w:val="0"/>
      <w:marTop w:val="0"/>
      <w:marBottom w:val="0"/>
      <w:divBdr>
        <w:top w:val="none" w:sz="0" w:space="0" w:color="auto"/>
        <w:left w:val="none" w:sz="0" w:space="0" w:color="auto"/>
        <w:bottom w:val="none" w:sz="0" w:space="0" w:color="auto"/>
        <w:right w:val="none" w:sz="0" w:space="0" w:color="auto"/>
      </w:divBdr>
    </w:div>
    <w:div w:id="155266598">
      <w:bodyDiv w:val="1"/>
      <w:marLeft w:val="0"/>
      <w:marRight w:val="0"/>
      <w:marTop w:val="0"/>
      <w:marBottom w:val="0"/>
      <w:divBdr>
        <w:top w:val="none" w:sz="0" w:space="0" w:color="auto"/>
        <w:left w:val="none" w:sz="0" w:space="0" w:color="auto"/>
        <w:bottom w:val="none" w:sz="0" w:space="0" w:color="auto"/>
        <w:right w:val="none" w:sz="0" w:space="0" w:color="auto"/>
      </w:divBdr>
    </w:div>
    <w:div w:id="250743623">
      <w:bodyDiv w:val="1"/>
      <w:marLeft w:val="0"/>
      <w:marRight w:val="0"/>
      <w:marTop w:val="0"/>
      <w:marBottom w:val="0"/>
      <w:divBdr>
        <w:top w:val="none" w:sz="0" w:space="0" w:color="auto"/>
        <w:left w:val="none" w:sz="0" w:space="0" w:color="auto"/>
        <w:bottom w:val="none" w:sz="0" w:space="0" w:color="auto"/>
        <w:right w:val="none" w:sz="0" w:space="0" w:color="auto"/>
      </w:divBdr>
    </w:div>
    <w:div w:id="251668121">
      <w:bodyDiv w:val="1"/>
      <w:marLeft w:val="0"/>
      <w:marRight w:val="0"/>
      <w:marTop w:val="0"/>
      <w:marBottom w:val="0"/>
      <w:divBdr>
        <w:top w:val="none" w:sz="0" w:space="0" w:color="auto"/>
        <w:left w:val="none" w:sz="0" w:space="0" w:color="auto"/>
        <w:bottom w:val="none" w:sz="0" w:space="0" w:color="auto"/>
        <w:right w:val="none" w:sz="0" w:space="0" w:color="auto"/>
      </w:divBdr>
    </w:div>
    <w:div w:id="285623252">
      <w:bodyDiv w:val="1"/>
      <w:marLeft w:val="0"/>
      <w:marRight w:val="0"/>
      <w:marTop w:val="0"/>
      <w:marBottom w:val="0"/>
      <w:divBdr>
        <w:top w:val="none" w:sz="0" w:space="0" w:color="auto"/>
        <w:left w:val="none" w:sz="0" w:space="0" w:color="auto"/>
        <w:bottom w:val="none" w:sz="0" w:space="0" w:color="auto"/>
        <w:right w:val="none" w:sz="0" w:space="0" w:color="auto"/>
      </w:divBdr>
    </w:div>
    <w:div w:id="321468283">
      <w:bodyDiv w:val="1"/>
      <w:marLeft w:val="0"/>
      <w:marRight w:val="0"/>
      <w:marTop w:val="0"/>
      <w:marBottom w:val="0"/>
      <w:divBdr>
        <w:top w:val="none" w:sz="0" w:space="0" w:color="auto"/>
        <w:left w:val="none" w:sz="0" w:space="0" w:color="auto"/>
        <w:bottom w:val="none" w:sz="0" w:space="0" w:color="auto"/>
        <w:right w:val="none" w:sz="0" w:space="0" w:color="auto"/>
      </w:divBdr>
    </w:div>
    <w:div w:id="323551784">
      <w:bodyDiv w:val="1"/>
      <w:marLeft w:val="0"/>
      <w:marRight w:val="0"/>
      <w:marTop w:val="0"/>
      <w:marBottom w:val="0"/>
      <w:divBdr>
        <w:top w:val="none" w:sz="0" w:space="0" w:color="auto"/>
        <w:left w:val="none" w:sz="0" w:space="0" w:color="auto"/>
        <w:bottom w:val="none" w:sz="0" w:space="0" w:color="auto"/>
        <w:right w:val="none" w:sz="0" w:space="0" w:color="auto"/>
      </w:divBdr>
    </w:div>
    <w:div w:id="364794550">
      <w:bodyDiv w:val="1"/>
      <w:marLeft w:val="0"/>
      <w:marRight w:val="0"/>
      <w:marTop w:val="0"/>
      <w:marBottom w:val="0"/>
      <w:divBdr>
        <w:top w:val="none" w:sz="0" w:space="0" w:color="auto"/>
        <w:left w:val="none" w:sz="0" w:space="0" w:color="auto"/>
        <w:bottom w:val="none" w:sz="0" w:space="0" w:color="auto"/>
        <w:right w:val="none" w:sz="0" w:space="0" w:color="auto"/>
      </w:divBdr>
    </w:div>
    <w:div w:id="412822425">
      <w:bodyDiv w:val="1"/>
      <w:marLeft w:val="0"/>
      <w:marRight w:val="0"/>
      <w:marTop w:val="0"/>
      <w:marBottom w:val="0"/>
      <w:divBdr>
        <w:top w:val="none" w:sz="0" w:space="0" w:color="auto"/>
        <w:left w:val="none" w:sz="0" w:space="0" w:color="auto"/>
        <w:bottom w:val="none" w:sz="0" w:space="0" w:color="auto"/>
        <w:right w:val="none" w:sz="0" w:space="0" w:color="auto"/>
      </w:divBdr>
    </w:div>
    <w:div w:id="520706933">
      <w:bodyDiv w:val="1"/>
      <w:marLeft w:val="0"/>
      <w:marRight w:val="0"/>
      <w:marTop w:val="0"/>
      <w:marBottom w:val="0"/>
      <w:divBdr>
        <w:top w:val="none" w:sz="0" w:space="0" w:color="auto"/>
        <w:left w:val="none" w:sz="0" w:space="0" w:color="auto"/>
        <w:bottom w:val="none" w:sz="0" w:space="0" w:color="auto"/>
        <w:right w:val="none" w:sz="0" w:space="0" w:color="auto"/>
      </w:divBdr>
    </w:div>
    <w:div w:id="594754170">
      <w:bodyDiv w:val="1"/>
      <w:marLeft w:val="0"/>
      <w:marRight w:val="0"/>
      <w:marTop w:val="0"/>
      <w:marBottom w:val="0"/>
      <w:divBdr>
        <w:top w:val="none" w:sz="0" w:space="0" w:color="auto"/>
        <w:left w:val="none" w:sz="0" w:space="0" w:color="auto"/>
        <w:bottom w:val="none" w:sz="0" w:space="0" w:color="auto"/>
        <w:right w:val="none" w:sz="0" w:space="0" w:color="auto"/>
      </w:divBdr>
    </w:div>
    <w:div w:id="598831781">
      <w:bodyDiv w:val="1"/>
      <w:marLeft w:val="0"/>
      <w:marRight w:val="0"/>
      <w:marTop w:val="0"/>
      <w:marBottom w:val="0"/>
      <w:divBdr>
        <w:top w:val="none" w:sz="0" w:space="0" w:color="auto"/>
        <w:left w:val="none" w:sz="0" w:space="0" w:color="auto"/>
        <w:bottom w:val="none" w:sz="0" w:space="0" w:color="auto"/>
        <w:right w:val="none" w:sz="0" w:space="0" w:color="auto"/>
      </w:divBdr>
    </w:div>
    <w:div w:id="685445715">
      <w:bodyDiv w:val="1"/>
      <w:marLeft w:val="0"/>
      <w:marRight w:val="0"/>
      <w:marTop w:val="0"/>
      <w:marBottom w:val="0"/>
      <w:divBdr>
        <w:top w:val="none" w:sz="0" w:space="0" w:color="auto"/>
        <w:left w:val="none" w:sz="0" w:space="0" w:color="auto"/>
        <w:bottom w:val="none" w:sz="0" w:space="0" w:color="auto"/>
        <w:right w:val="none" w:sz="0" w:space="0" w:color="auto"/>
      </w:divBdr>
    </w:div>
    <w:div w:id="728648894">
      <w:bodyDiv w:val="1"/>
      <w:marLeft w:val="0"/>
      <w:marRight w:val="0"/>
      <w:marTop w:val="0"/>
      <w:marBottom w:val="0"/>
      <w:divBdr>
        <w:top w:val="none" w:sz="0" w:space="0" w:color="auto"/>
        <w:left w:val="none" w:sz="0" w:space="0" w:color="auto"/>
        <w:bottom w:val="none" w:sz="0" w:space="0" w:color="auto"/>
        <w:right w:val="none" w:sz="0" w:space="0" w:color="auto"/>
      </w:divBdr>
    </w:div>
    <w:div w:id="778599068">
      <w:bodyDiv w:val="1"/>
      <w:marLeft w:val="0"/>
      <w:marRight w:val="0"/>
      <w:marTop w:val="0"/>
      <w:marBottom w:val="0"/>
      <w:divBdr>
        <w:top w:val="none" w:sz="0" w:space="0" w:color="auto"/>
        <w:left w:val="none" w:sz="0" w:space="0" w:color="auto"/>
        <w:bottom w:val="none" w:sz="0" w:space="0" w:color="auto"/>
        <w:right w:val="none" w:sz="0" w:space="0" w:color="auto"/>
      </w:divBdr>
    </w:div>
    <w:div w:id="805002200">
      <w:bodyDiv w:val="1"/>
      <w:marLeft w:val="0"/>
      <w:marRight w:val="0"/>
      <w:marTop w:val="0"/>
      <w:marBottom w:val="0"/>
      <w:divBdr>
        <w:top w:val="none" w:sz="0" w:space="0" w:color="auto"/>
        <w:left w:val="none" w:sz="0" w:space="0" w:color="auto"/>
        <w:bottom w:val="none" w:sz="0" w:space="0" w:color="auto"/>
        <w:right w:val="none" w:sz="0" w:space="0" w:color="auto"/>
      </w:divBdr>
    </w:div>
    <w:div w:id="880439344">
      <w:bodyDiv w:val="1"/>
      <w:marLeft w:val="0"/>
      <w:marRight w:val="0"/>
      <w:marTop w:val="0"/>
      <w:marBottom w:val="0"/>
      <w:divBdr>
        <w:top w:val="none" w:sz="0" w:space="0" w:color="auto"/>
        <w:left w:val="none" w:sz="0" w:space="0" w:color="auto"/>
        <w:bottom w:val="none" w:sz="0" w:space="0" w:color="auto"/>
        <w:right w:val="none" w:sz="0" w:space="0" w:color="auto"/>
      </w:divBdr>
    </w:div>
    <w:div w:id="1003432449">
      <w:bodyDiv w:val="1"/>
      <w:marLeft w:val="0"/>
      <w:marRight w:val="0"/>
      <w:marTop w:val="0"/>
      <w:marBottom w:val="0"/>
      <w:divBdr>
        <w:top w:val="none" w:sz="0" w:space="0" w:color="auto"/>
        <w:left w:val="none" w:sz="0" w:space="0" w:color="auto"/>
        <w:bottom w:val="none" w:sz="0" w:space="0" w:color="auto"/>
        <w:right w:val="none" w:sz="0" w:space="0" w:color="auto"/>
      </w:divBdr>
    </w:div>
    <w:div w:id="1154179457">
      <w:bodyDiv w:val="1"/>
      <w:marLeft w:val="0"/>
      <w:marRight w:val="0"/>
      <w:marTop w:val="0"/>
      <w:marBottom w:val="0"/>
      <w:divBdr>
        <w:top w:val="none" w:sz="0" w:space="0" w:color="auto"/>
        <w:left w:val="none" w:sz="0" w:space="0" w:color="auto"/>
        <w:bottom w:val="none" w:sz="0" w:space="0" w:color="auto"/>
        <w:right w:val="none" w:sz="0" w:space="0" w:color="auto"/>
      </w:divBdr>
    </w:div>
    <w:div w:id="1215002134">
      <w:bodyDiv w:val="1"/>
      <w:marLeft w:val="0"/>
      <w:marRight w:val="0"/>
      <w:marTop w:val="0"/>
      <w:marBottom w:val="0"/>
      <w:divBdr>
        <w:top w:val="none" w:sz="0" w:space="0" w:color="auto"/>
        <w:left w:val="none" w:sz="0" w:space="0" w:color="auto"/>
        <w:bottom w:val="none" w:sz="0" w:space="0" w:color="auto"/>
        <w:right w:val="none" w:sz="0" w:space="0" w:color="auto"/>
      </w:divBdr>
    </w:div>
    <w:div w:id="1284070100">
      <w:bodyDiv w:val="1"/>
      <w:marLeft w:val="0"/>
      <w:marRight w:val="0"/>
      <w:marTop w:val="0"/>
      <w:marBottom w:val="0"/>
      <w:divBdr>
        <w:top w:val="none" w:sz="0" w:space="0" w:color="auto"/>
        <w:left w:val="none" w:sz="0" w:space="0" w:color="auto"/>
        <w:bottom w:val="none" w:sz="0" w:space="0" w:color="auto"/>
        <w:right w:val="none" w:sz="0" w:space="0" w:color="auto"/>
      </w:divBdr>
    </w:div>
    <w:div w:id="1304891494">
      <w:bodyDiv w:val="1"/>
      <w:marLeft w:val="0"/>
      <w:marRight w:val="0"/>
      <w:marTop w:val="0"/>
      <w:marBottom w:val="0"/>
      <w:divBdr>
        <w:top w:val="none" w:sz="0" w:space="0" w:color="auto"/>
        <w:left w:val="none" w:sz="0" w:space="0" w:color="auto"/>
        <w:bottom w:val="none" w:sz="0" w:space="0" w:color="auto"/>
        <w:right w:val="none" w:sz="0" w:space="0" w:color="auto"/>
      </w:divBdr>
    </w:div>
    <w:div w:id="1308168113">
      <w:bodyDiv w:val="1"/>
      <w:marLeft w:val="0"/>
      <w:marRight w:val="0"/>
      <w:marTop w:val="0"/>
      <w:marBottom w:val="0"/>
      <w:divBdr>
        <w:top w:val="none" w:sz="0" w:space="0" w:color="auto"/>
        <w:left w:val="none" w:sz="0" w:space="0" w:color="auto"/>
        <w:bottom w:val="none" w:sz="0" w:space="0" w:color="auto"/>
        <w:right w:val="none" w:sz="0" w:space="0" w:color="auto"/>
      </w:divBdr>
    </w:div>
    <w:div w:id="1322808991">
      <w:bodyDiv w:val="1"/>
      <w:marLeft w:val="0"/>
      <w:marRight w:val="0"/>
      <w:marTop w:val="0"/>
      <w:marBottom w:val="0"/>
      <w:divBdr>
        <w:top w:val="none" w:sz="0" w:space="0" w:color="auto"/>
        <w:left w:val="none" w:sz="0" w:space="0" w:color="auto"/>
        <w:bottom w:val="none" w:sz="0" w:space="0" w:color="auto"/>
        <w:right w:val="none" w:sz="0" w:space="0" w:color="auto"/>
      </w:divBdr>
    </w:div>
    <w:div w:id="1353340490">
      <w:bodyDiv w:val="1"/>
      <w:marLeft w:val="0"/>
      <w:marRight w:val="0"/>
      <w:marTop w:val="0"/>
      <w:marBottom w:val="0"/>
      <w:divBdr>
        <w:top w:val="none" w:sz="0" w:space="0" w:color="auto"/>
        <w:left w:val="none" w:sz="0" w:space="0" w:color="auto"/>
        <w:bottom w:val="none" w:sz="0" w:space="0" w:color="auto"/>
        <w:right w:val="none" w:sz="0" w:space="0" w:color="auto"/>
      </w:divBdr>
    </w:div>
    <w:div w:id="1409885281">
      <w:bodyDiv w:val="1"/>
      <w:marLeft w:val="0"/>
      <w:marRight w:val="0"/>
      <w:marTop w:val="0"/>
      <w:marBottom w:val="0"/>
      <w:divBdr>
        <w:top w:val="none" w:sz="0" w:space="0" w:color="auto"/>
        <w:left w:val="none" w:sz="0" w:space="0" w:color="auto"/>
        <w:bottom w:val="none" w:sz="0" w:space="0" w:color="auto"/>
        <w:right w:val="none" w:sz="0" w:space="0" w:color="auto"/>
      </w:divBdr>
    </w:div>
    <w:div w:id="1444961035">
      <w:bodyDiv w:val="1"/>
      <w:marLeft w:val="0"/>
      <w:marRight w:val="0"/>
      <w:marTop w:val="0"/>
      <w:marBottom w:val="0"/>
      <w:divBdr>
        <w:top w:val="none" w:sz="0" w:space="0" w:color="auto"/>
        <w:left w:val="none" w:sz="0" w:space="0" w:color="auto"/>
        <w:bottom w:val="none" w:sz="0" w:space="0" w:color="auto"/>
        <w:right w:val="none" w:sz="0" w:space="0" w:color="auto"/>
      </w:divBdr>
    </w:div>
    <w:div w:id="1581021209">
      <w:bodyDiv w:val="1"/>
      <w:marLeft w:val="0"/>
      <w:marRight w:val="0"/>
      <w:marTop w:val="0"/>
      <w:marBottom w:val="0"/>
      <w:divBdr>
        <w:top w:val="none" w:sz="0" w:space="0" w:color="auto"/>
        <w:left w:val="none" w:sz="0" w:space="0" w:color="auto"/>
        <w:bottom w:val="none" w:sz="0" w:space="0" w:color="auto"/>
        <w:right w:val="none" w:sz="0" w:space="0" w:color="auto"/>
      </w:divBdr>
    </w:div>
    <w:div w:id="1596204016">
      <w:bodyDiv w:val="1"/>
      <w:marLeft w:val="0"/>
      <w:marRight w:val="0"/>
      <w:marTop w:val="0"/>
      <w:marBottom w:val="0"/>
      <w:divBdr>
        <w:top w:val="none" w:sz="0" w:space="0" w:color="auto"/>
        <w:left w:val="none" w:sz="0" w:space="0" w:color="auto"/>
        <w:bottom w:val="none" w:sz="0" w:space="0" w:color="auto"/>
        <w:right w:val="none" w:sz="0" w:space="0" w:color="auto"/>
      </w:divBdr>
    </w:div>
    <w:div w:id="1647051181">
      <w:bodyDiv w:val="1"/>
      <w:marLeft w:val="0"/>
      <w:marRight w:val="0"/>
      <w:marTop w:val="0"/>
      <w:marBottom w:val="0"/>
      <w:divBdr>
        <w:top w:val="none" w:sz="0" w:space="0" w:color="auto"/>
        <w:left w:val="none" w:sz="0" w:space="0" w:color="auto"/>
        <w:bottom w:val="none" w:sz="0" w:space="0" w:color="auto"/>
        <w:right w:val="none" w:sz="0" w:space="0" w:color="auto"/>
      </w:divBdr>
    </w:div>
    <w:div w:id="1653949323">
      <w:bodyDiv w:val="1"/>
      <w:marLeft w:val="0"/>
      <w:marRight w:val="0"/>
      <w:marTop w:val="0"/>
      <w:marBottom w:val="0"/>
      <w:divBdr>
        <w:top w:val="none" w:sz="0" w:space="0" w:color="auto"/>
        <w:left w:val="none" w:sz="0" w:space="0" w:color="auto"/>
        <w:bottom w:val="none" w:sz="0" w:space="0" w:color="auto"/>
        <w:right w:val="none" w:sz="0" w:space="0" w:color="auto"/>
      </w:divBdr>
    </w:div>
    <w:div w:id="1699891193">
      <w:bodyDiv w:val="1"/>
      <w:marLeft w:val="0"/>
      <w:marRight w:val="0"/>
      <w:marTop w:val="0"/>
      <w:marBottom w:val="0"/>
      <w:divBdr>
        <w:top w:val="none" w:sz="0" w:space="0" w:color="auto"/>
        <w:left w:val="none" w:sz="0" w:space="0" w:color="auto"/>
        <w:bottom w:val="none" w:sz="0" w:space="0" w:color="auto"/>
        <w:right w:val="none" w:sz="0" w:space="0" w:color="auto"/>
      </w:divBdr>
    </w:div>
    <w:div w:id="1715738493">
      <w:bodyDiv w:val="1"/>
      <w:marLeft w:val="0"/>
      <w:marRight w:val="0"/>
      <w:marTop w:val="0"/>
      <w:marBottom w:val="0"/>
      <w:divBdr>
        <w:top w:val="none" w:sz="0" w:space="0" w:color="auto"/>
        <w:left w:val="none" w:sz="0" w:space="0" w:color="auto"/>
        <w:bottom w:val="none" w:sz="0" w:space="0" w:color="auto"/>
        <w:right w:val="none" w:sz="0" w:space="0" w:color="auto"/>
      </w:divBdr>
    </w:div>
    <w:div w:id="1798522456">
      <w:bodyDiv w:val="1"/>
      <w:marLeft w:val="0"/>
      <w:marRight w:val="0"/>
      <w:marTop w:val="0"/>
      <w:marBottom w:val="0"/>
      <w:divBdr>
        <w:top w:val="none" w:sz="0" w:space="0" w:color="auto"/>
        <w:left w:val="none" w:sz="0" w:space="0" w:color="auto"/>
        <w:bottom w:val="none" w:sz="0" w:space="0" w:color="auto"/>
        <w:right w:val="none" w:sz="0" w:space="0" w:color="auto"/>
      </w:divBdr>
    </w:div>
    <w:div w:id="1820808397">
      <w:bodyDiv w:val="1"/>
      <w:marLeft w:val="0"/>
      <w:marRight w:val="0"/>
      <w:marTop w:val="0"/>
      <w:marBottom w:val="0"/>
      <w:divBdr>
        <w:top w:val="none" w:sz="0" w:space="0" w:color="auto"/>
        <w:left w:val="none" w:sz="0" w:space="0" w:color="auto"/>
        <w:bottom w:val="none" w:sz="0" w:space="0" w:color="auto"/>
        <w:right w:val="none" w:sz="0" w:space="0" w:color="auto"/>
      </w:divBdr>
    </w:div>
    <w:div w:id="1864636773">
      <w:bodyDiv w:val="1"/>
      <w:marLeft w:val="0"/>
      <w:marRight w:val="0"/>
      <w:marTop w:val="0"/>
      <w:marBottom w:val="0"/>
      <w:divBdr>
        <w:top w:val="none" w:sz="0" w:space="0" w:color="auto"/>
        <w:left w:val="none" w:sz="0" w:space="0" w:color="auto"/>
        <w:bottom w:val="none" w:sz="0" w:space="0" w:color="auto"/>
        <w:right w:val="none" w:sz="0" w:space="0" w:color="auto"/>
      </w:divBdr>
    </w:div>
    <w:div w:id="1884251886">
      <w:bodyDiv w:val="1"/>
      <w:marLeft w:val="0"/>
      <w:marRight w:val="0"/>
      <w:marTop w:val="0"/>
      <w:marBottom w:val="0"/>
      <w:divBdr>
        <w:top w:val="none" w:sz="0" w:space="0" w:color="auto"/>
        <w:left w:val="none" w:sz="0" w:space="0" w:color="auto"/>
        <w:bottom w:val="none" w:sz="0" w:space="0" w:color="auto"/>
        <w:right w:val="none" w:sz="0" w:space="0" w:color="auto"/>
      </w:divBdr>
    </w:div>
    <w:div w:id="1973368194">
      <w:bodyDiv w:val="1"/>
      <w:marLeft w:val="0"/>
      <w:marRight w:val="0"/>
      <w:marTop w:val="0"/>
      <w:marBottom w:val="0"/>
      <w:divBdr>
        <w:top w:val="none" w:sz="0" w:space="0" w:color="auto"/>
        <w:left w:val="none" w:sz="0" w:space="0" w:color="auto"/>
        <w:bottom w:val="none" w:sz="0" w:space="0" w:color="auto"/>
        <w:right w:val="none" w:sz="0" w:space="0" w:color="auto"/>
      </w:divBdr>
    </w:div>
    <w:div w:id="2030645177">
      <w:bodyDiv w:val="1"/>
      <w:marLeft w:val="0"/>
      <w:marRight w:val="0"/>
      <w:marTop w:val="0"/>
      <w:marBottom w:val="0"/>
      <w:divBdr>
        <w:top w:val="none" w:sz="0" w:space="0" w:color="auto"/>
        <w:left w:val="none" w:sz="0" w:space="0" w:color="auto"/>
        <w:bottom w:val="none" w:sz="0" w:space="0" w:color="auto"/>
        <w:right w:val="none" w:sz="0" w:space="0" w:color="auto"/>
      </w:divBdr>
    </w:div>
    <w:div w:id="2059932493">
      <w:bodyDiv w:val="1"/>
      <w:marLeft w:val="0"/>
      <w:marRight w:val="0"/>
      <w:marTop w:val="0"/>
      <w:marBottom w:val="0"/>
      <w:divBdr>
        <w:top w:val="none" w:sz="0" w:space="0" w:color="auto"/>
        <w:left w:val="none" w:sz="0" w:space="0" w:color="auto"/>
        <w:bottom w:val="none" w:sz="0" w:space="0" w:color="auto"/>
        <w:right w:val="none" w:sz="0" w:space="0" w:color="auto"/>
      </w:divBdr>
    </w:div>
    <w:div w:id="2077168700">
      <w:bodyDiv w:val="1"/>
      <w:marLeft w:val="0"/>
      <w:marRight w:val="0"/>
      <w:marTop w:val="0"/>
      <w:marBottom w:val="0"/>
      <w:divBdr>
        <w:top w:val="none" w:sz="0" w:space="0" w:color="auto"/>
        <w:left w:val="none" w:sz="0" w:space="0" w:color="auto"/>
        <w:bottom w:val="none" w:sz="0" w:space="0" w:color="auto"/>
        <w:right w:val="none" w:sz="0" w:space="0" w:color="auto"/>
      </w:divBdr>
    </w:div>
    <w:div w:id="21353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frhome\data$\71400\71410\Hodnocen&#237;%20program&#367;\TREND%20pr&#367;b&#283;&#382;n&#233;\TREND%20pr&#367;b&#283;&#382;n&#233;%20aktualizovan&#233;\archiv-neplatn&#233;-pomocn&#233;\data%20TREND_Honza%20kontroln&#23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808236747752672E-2"/>
          <c:y val="2.4567285169027144E-2"/>
          <c:w val="0.93685945481635868"/>
          <c:h val="0.91273390798857068"/>
        </c:manualLayout>
      </c:layout>
      <c:barChart>
        <c:barDir val="col"/>
        <c:grouping val="stacked"/>
        <c:varyColors val="0"/>
        <c:ser>
          <c:idx val="0"/>
          <c:order val="0"/>
          <c:tx>
            <c:strRef>
              <c:f>'projekty finance po letech'!$L$18</c:f>
              <c:strCache>
                <c:ptCount val="1"/>
                <c:pt idx="0">
                  <c:v>FW01</c:v>
                </c:pt>
              </c:strCache>
            </c:strRef>
          </c:tx>
          <c:spPr>
            <a:solidFill>
              <a:schemeClr val="accent1">
                <a:lumMod val="5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letech'!$L$19:$L$26</c:f>
              <c:numCache>
                <c:formatCode>#,##0</c:formatCode>
                <c:ptCount val="8"/>
                <c:pt idx="0">
                  <c:v>760.16700900000001</c:v>
                </c:pt>
                <c:pt idx="1">
                  <c:v>847.09814400000005</c:v>
                </c:pt>
                <c:pt idx="2">
                  <c:v>754.87919899999997</c:v>
                </c:pt>
                <c:pt idx="3">
                  <c:v>376.80001499999997</c:v>
                </c:pt>
                <c:pt idx="4">
                  <c:v>91.154809999999998</c:v>
                </c:pt>
                <c:pt idx="5">
                  <c:v>0.64549999999999996</c:v>
                </c:pt>
                <c:pt idx="6">
                  <c:v>0</c:v>
                </c:pt>
                <c:pt idx="7">
                  <c:v>0</c:v>
                </c:pt>
              </c:numCache>
            </c:numRef>
          </c:val>
          <c:extLst>
            <c:ext xmlns:c16="http://schemas.microsoft.com/office/drawing/2014/chart" uri="{C3380CC4-5D6E-409C-BE32-E72D297353CC}">
              <c16:uniqueId val="{00000000-53FE-40B5-AADF-D3C0B93E729A}"/>
            </c:ext>
          </c:extLst>
        </c:ser>
        <c:ser>
          <c:idx val="1"/>
          <c:order val="1"/>
          <c:tx>
            <c:strRef>
              <c:f>'projekty finance po letech'!$M$18</c:f>
              <c:strCache>
                <c:ptCount val="1"/>
                <c:pt idx="0">
                  <c:v>FW02</c:v>
                </c:pt>
              </c:strCache>
            </c:strRef>
          </c:tx>
          <c:spPr>
            <a:solidFill>
              <a:schemeClr val="accent2">
                <a:lumMod val="75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letech'!$M$19:$M$26</c:f>
              <c:numCache>
                <c:formatCode>#,##0</c:formatCode>
                <c:ptCount val="8"/>
                <c:pt idx="0">
                  <c:v>25.579875000000001</c:v>
                </c:pt>
                <c:pt idx="1">
                  <c:v>66.359577000000002</c:v>
                </c:pt>
                <c:pt idx="2">
                  <c:v>58.550803999999999</c:v>
                </c:pt>
                <c:pt idx="3">
                  <c:v>31.771281999999999</c:v>
                </c:pt>
                <c:pt idx="4">
                  <c:v>3.637486</c:v>
                </c:pt>
                <c:pt idx="5">
                  <c:v>0</c:v>
                </c:pt>
                <c:pt idx="6">
                  <c:v>0</c:v>
                </c:pt>
                <c:pt idx="7">
                  <c:v>0</c:v>
                </c:pt>
              </c:numCache>
            </c:numRef>
          </c:val>
          <c:extLst>
            <c:ext xmlns:c16="http://schemas.microsoft.com/office/drawing/2014/chart" uri="{C3380CC4-5D6E-409C-BE32-E72D297353CC}">
              <c16:uniqueId val="{00000001-53FE-40B5-AADF-D3C0B93E729A}"/>
            </c:ext>
          </c:extLst>
        </c:ser>
        <c:ser>
          <c:idx val="2"/>
          <c:order val="2"/>
          <c:tx>
            <c:strRef>
              <c:f>'projekty finance po letech'!$N$18</c:f>
              <c:strCache>
                <c:ptCount val="1"/>
                <c:pt idx="0">
                  <c:v>FW03</c:v>
                </c:pt>
              </c:strCache>
            </c:strRef>
          </c:tx>
          <c:spPr>
            <a:solidFill>
              <a:schemeClr val="accent1">
                <a:lumMod val="75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letech'!$N$19:$N$26</c:f>
              <c:numCache>
                <c:formatCode>#,##0</c:formatCode>
                <c:ptCount val="8"/>
                <c:pt idx="0">
                  <c:v>0</c:v>
                </c:pt>
                <c:pt idx="1">
                  <c:v>760.73102100000006</c:v>
                </c:pt>
                <c:pt idx="2">
                  <c:v>846.54792599999996</c:v>
                </c:pt>
                <c:pt idx="3">
                  <c:v>771.98822399999995</c:v>
                </c:pt>
                <c:pt idx="4">
                  <c:v>412.61591499999997</c:v>
                </c:pt>
                <c:pt idx="5">
                  <c:v>42.832191999999999</c:v>
                </c:pt>
                <c:pt idx="6">
                  <c:v>1.0626</c:v>
                </c:pt>
                <c:pt idx="7">
                  <c:v>0</c:v>
                </c:pt>
              </c:numCache>
            </c:numRef>
          </c:val>
          <c:extLst>
            <c:ext xmlns:c16="http://schemas.microsoft.com/office/drawing/2014/chart" uri="{C3380CC4-5D6E-409C-BE32-E72D297353CC}">
              <c16:uniqueId val="{00000002-53FE-40B5-AADF-D3C0B93E729A}"/>
            </c:ext>
          </c:extLst>
        </c:ser>
        <c:ser>
          <c:idx val="3"/>
          <c:order val="3"/>
          <c:tx>
            <c:strRef>
              <c:f>'projekty finance po letech'!$O$18</c:f>
              <c:strCache>
                <c:ptCount val="1"/>
                <c:pt idx="0">
                  <c:v>FW04</c:v>
                </c:pt>
              </c:strCache>
            </c:strRef>
          </c:tx>
          <c:spPr>
            <a:solidFill>
              <a:schemeClr val="accent2">
                <a:lumMod val="60000"/>
                <a:lumOff val="4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letech'!$O$19:$O$26</c:f>
              <c:numCache>
                <c:formatCode>#,##0</c:formatCode>
                <c:ptCount val="8"/>
                <c:pt idx="0">
                  <c:v>0</c:v>
                </c:pt>
                <c:pt idx="1">
                  <c:v>0</c:v>
                </c:pt>
                <c:pt idx="2">
                  <c:v>58.688414999999999</c:v>
                </c:pt>
                <c:pt idx="3">
                  <c:v>63.777073000000001</c:v>
                </c:pt>
                <c:pt idx="4">
                  <c:v>43.898023999999999</c:v>
                </c:pt>
                <c:pt idx="5">
                  <c:v>11.115693</c:v>
                </c:pt>
                <c:pt idx="6">
                  <c:v>0</c:v>
                </c:pt>
                <c:pt idx="7">
                  <c:v>0</c:v>
                </c:pt>
              </c:numCache>
            </c:numRef>
          </c:val>
          <c:extLst>
            <c:ext xmlns:c16="http://schemas.microsoft.com/office/drawing/2014/chart" uri="{C3380CC4-5D6E-409C-BE32-E72D297353CC}">
              <c16:uniqueId val="{00000003-53FE-40B5-AADF-D3C0B93E729A}"/>
            </c:ext>
          </c:extLst>
        </c:ser>
        <c:ser>
          <c:idx val="4"/>
          <c:order val="4"/>
          <c:tx>
            <c:strRef>
              <c:f>'projekty finance po letech'!$P$18</c:f>
              <c:strCache>
                <c:ptCount val="1"/>
                <c:pt idx="0">
                  <c:v>FW06</c:v>
                </c:pt>
              </c:strCache>
            </c:strRef>
          </c:tx>
          <c:spPr>
            <a:solidFill>
              <a:schemeClr val="accent1">
                <a:lumMod val="60000"/>
                <a:lumOff val="4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letech'!$P$19:$P$26</c:f>
              <c:numCache>
                <c:formatCode>#,##0</c:formatCode>
                <c:ptCount val="8"/>
                <c:pt idx="0">
                  <c:v>0</c:v>
                </c:pt>
                <c:pt idx="1">
                  <c:v>0</c:v>
                </c:pt>
                <c:pt idx="2">
                  <c:v>0</c:v>
                </c:pt>
                <c:pt idx="3">
                  <c:v>585.94715499999995</c:v>
                </c:pt>
                <c:pt idx="4">
                  <c:v>649.08211600000004</c:v>
                </c:pt>
                <c:pt idx="5">
                  <c:v>490.96068700000001</c:v>
                </c:pt>
                <c:pt idx="6">
                  <c:v>164.428066</c:v>
                </c:pt>
                <c:pt idx="7">
                  <c:v>17.895614999999999</c:v>
                </c:pt>
              </c:numCache>
            </c:numRef>
          </c:val>
          <c:extLst>
            <c:ext xmlns:c16="http://schemas.microsoft.com/office/drawing/2014/chart" uri="{C3380CC4-5D6E-409C-BE32-E72D297353CC}">
              <c16:uniqueId val="{00000004-53FE-40B5-AADF-D3C0B93E729A}"/>
            </c:ext>
          </c:extLst>
        </c:ser>
        <c:ser>
          <c:idx val="5"/>
          <c:order val="5"/>
          <c:tx>
            <c:strRef>
              <c:f>'projekty finance po letech'!$Q$18</c:f>
              <c:strCache>
                <c:ptCount val="1"/>
                <c:pt idx="0">
                  <c:v>FW07</c:v>
                </c:pt>
              </c:strCache>
            </c:strRef>
          </c:tx>
          <c:spPr>
            <a:solidFill>
              <a:schemeClr val="bg2">
                <a:lumMod val="65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letech'!$Q$19:$Q$26</c:f>
              <c:numCache>
                <c:formatCode>#,##0</c:formatCode>
                <c:ptCount val="8"/>
                <c:pt idx="0">
                  <c:v>0</c:v>
                </c:pt>
                <c:pt idx="1">
                  <c:v>0</c:v>
                </c:pt>
                <c:pt idx="2">
                  <c:v>0</c:v>
                </c:pt>
                <c:pt idx="3">
                  <c:v>43.021301000000001</c:v>
                </c:pt>
                <c:pt idx="4">
                  <c:v>42.113646000000003</c:v>
                </c:pt>
                <c:pt idx="5">
                  <c:v>29.852974</c:v>
                </c:pt>
                <c:pt idx="6">
                  <c:v>0</c:v>
                </c:pt>
                <c:pt idx="7">
                  <c:v>0</c:v>
                </c:pt>
              </c:numCache>
            </c:numRef>
          </c:val>
          <c:extLst>
            <c:ext xmlns:c16="http://schemas.microsoft.com/office/drawing/2014/chart" uri="{C3380CC4-5D6E-409C-BE32-E72D297353CC}">
              <c16:uniqueId val="{00000005-53FE-40B5-AADF-D3C0B93E729A}"/>
            </c:ext>
          </c:extLst>
        </c:ser>
        <c:ser>
          <c:idx val="6"/>
          <c:order val="6"/>
          <c:tx>
            <c:strRef>
              <c:f>'projekty finance po letech'!$R$18</c:f>
              <c:strCache>
                <c:ptCount val="1"/>
                <c:pt idx="0">
                  <c:v>FW08</c:v>
                </c:pt>
              </c:strCache>
            </c:strRef>
          </c:tx>
          <c:spPr>
            <a:solidFill>
              <a:schemeClr val="bg2">
                <a:lumMod val="85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letech'!$R$19:$R$26</c:f>
              <c:numCache>
                <c:formatCode>#,##0</c:formatCode>
                <c:ptCount val="8"/>
                <c:pt idx="0">
                  <c:v>0</c:v>
                </c:pt>
                <c:pt idx="1">
                  <c:v>0</c:v>
                </c:pt>
                <c:pt idx="2">
                  <c:v>0</c:v>
                </c:pt>
                <c:pt idx="3">
                  <c:v>34.167608000000001</c:v>
                </c:pt>
                <c:pt idx="4">
                  <c:v>71.550296000000003</c:v>
                </c:pt>
                <c:pt idx="5">
                  <c:v>55.499333999999998</c:v>
                </c:pt>
                <c:pt idx="6">
                  <c:v>0</c:v>
                </c:pt>
                <c:pt idx="7">
                  <c:v>0</c:v>
                </c:pt>
              </c:numCache>
            </c:numRef>
          </c:val>
          <c:extLst>
            <c:ext xmlns:c16="http://schemas.microsoft.com/office/drawing/2014/chart" uri="{C3380CC4-5D6E-409C-BE32-E72D297353CC}">
              <c16:uniqueId val="{00000006-53FE-40B5-AADF-D3C0B93E729A}"/>
            </c:ext>
          </c:extLst>
        </c:ser>
        <c:ser>
          <c:idx val="7"/>
          <c:order val="7"/>
          <c:tx>
            <c:strRef>
              <c:f>'projekty finance po letech'!$S$18</c:f>
              <c:strCache>
                <c:ptCount val="1"/>
                <c:pt idx="0">
                  <c:v>FW09</c:v>
                </c:pt>
              </c:strCache>
            </c:strRef>
          </c:tx>
          <c:spPr>
            <a:solidFill>
              <a:schemeClr val="accent2">
                <a:lumMod val="40000"/>
                <a:lumOff val="6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letech'!$S$19:$S$26</c:f>
              <c:numCache>
                <c:formatCode>#,##0</c:formatCode>
                <c:ptCount val="8"/>
                <c:pt idx="0">
                  <c:v>0</c:v>
                </c:pt>
                <c:pt idx="1">
                  <c:v>0</c:v>
                </c:pt>
                <c:pt idx="2">
                  <c:v>0</c:v>
                </c:pt>
                <c:pt idx="3">
                  <c:v>35.023156999999998</c:v>
                </c:pt>
                <c:pt idx="4">
                  <c:v>76.663460999999998</c:v>
                </c:pt>
                <c:pt idx="5">
                  <c:v>59.655824000000003</c:v>
                </c:pt>
                <c:pt idx="6">
                  <c:v>14.142715000000001</c:v>
                </c:pt>
                <c:pt idx="7">
                  <c:v>2.4630070000000002</c:v>
                </c:pt>
              </c:numCache>
            </c:numRef>
          </c:val>
          <c:extLst>
            <c:ext xmlns:c16="http://schemas.microsoft.com/office/drawing/2014/chart" uri="{C3380CC4-5D6E-409C-BE32-E72D297353CC}">
              <c16:uniqueId val="{00000007-53FE-40B5-AADF-D3C0B93E729A}"/>
            </c:ext>
          </c:extLst>
        </c:ser>
        <c:ser>
          <c:idx val="8"/>
          <c:order val="8"/>
          <c:tx>
            <c:strRef>
              <c:f>'projekty finance po letech'!$T$18</c:f>
              <c:strCache>
                <c:ptCount val="1"/>
                <c:pt idx="0">
                  <c:v>FW10</c:v>
                </c:pt>
              </c:strCache>
            </c:strRef>
          </c:tx>
          <c:spPr>
            <a:solidFill>
              <a:schemeClr val="accent1">
                <a:lumMod val="40000"/>
                <a:lumOff val="6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letech'!$T$19:$T$26</c:f>
              <c:numCache>
                <c:formatCode>#,##0</c:formatCode>
                <c:ptCount val="8"/>
                <c:pt idx="0">
                  <c:v>0</c:v>
                </c:pt>
                <c:pt idx="1">
                  <c:v>0</c:v>
                </c:pt>
                <c:pt idx="2">
                  <c:v>0</c:v>
                </c:pt>
                <c:pt idx="3">
                  <c:v>0</c:v>
                </c:pt>
                <c:pt idx="4">
                  <c:v>732.80871200000001</c:v>
                </c:pt>
                <c:pt idx="5">
                  <c:v>742.81121299999995</c:v>
                </c:pt>
                <c:pt idx="6">
                  <c:v>306.86561</c:v>
                </c:pt>
                <c:pt idx="7">
                  <c:v>0</c:v>
                </c:pt>
              </c:numCache>
            </c:numRef>
          </c:val>
          <c:extLst>
            <c:ext xmlns:c16="http://schemas.microsoft.com/office/drawing/2014/chart" uri="{C3380CC4-5D6E-409C-BE32-E72D297353CC}">
              <c16:uniqueId val="{00000008-53FE-40B5-AADF-D3C0B93E729A}"/>
            </c:ext>
          </c:extLst>
        </c:ser>
        <c:ser>
          <c:idx val="9"/>
          <c:order val="9"/>
          <c:tx>
            <c:strRef>
              <c:f>'projekty finance po letech'!$U$18</c:f>
              <c:strCache>
                <c:ptCount val="1"/>
                <c:pt idx="0">
                  <c:v>FW11</c:v>
                </c:pt>
              </c:strCache>
            </c:strRef>
          </c:tx>
          <c:spPr>
            <a:solidFill>
              <a:schemeClr val="accent2">
                <a:lumMod val="20000"/>
                <a:lumOff val="80000"/>
              </a:schemeClr>
            </a:solidFill>
            <a:ln>
              <a:noFill/>
            </a:ln>
            <a:effectLst/>
          </c:spPr>
          <c:invertIfNegative val="0"/>
          <c:cat>
            <c:numRef>
              <c:f>'projekty finance po letech'!$K$19:$K$26</c:f>
              <c:numCache>
                <c:formatCode>General</c:formatCode>
                <c:ptCount val="8"/>
                <c:pt idx="0">
                  <c:v>2020</c:v>
                </c:pt>
                <c:pt idx="1">
                  <c:v>2021</c:v>
                </c:pt>
                <c:pt idx="2">
                  <c:v>2022</c:v>
                </c:pt>
                <c:pt idx="3">
                  <c:v>2023</c:v>
                </c:pt>
                <c:pt idx="4">
                  <c:v>2024</c:v>
                </c:pt>
                <c:pt idx="5">
                  <c:v>2025</c:v>
                </c:pt>
                <c:pt idx="6">
                  <c:v>2026</c:v>
                </c:pt>
                <c:pt idx="7">
                  <c:v>2027</c:v>
                </c:pt>
              </c:numCache>
            </c:numRef>
          </c:cat>
          <c:val>
            <c:numRef>
              <c:f>'projekty finance po letech'!$U$19:$U$26</c:f>
              <c:numCache>
                <c:formatCode>#,##0</c:formatCode>
                <c:ptCount val="8"/>
                <c:pt idx="0">
                  <c:v>0</c:v>
                </c:pt>
                <c:pt idx="1">
                  <c:v>0</c:v>
                </c:pt>
                <c:pt idx="2">
                  <c:v>0</c:v>
                </c:pt>
                <c:pt idx="3">
                  <c:v>0</c:v>
                </c:pt>
                <c:pt idx="4">
                  <c:v>56.269016999999998</c:v>
                </c:pt>
                <c:pt idx="5">
                  <c:v>109.011399</c:v>
                </c:pt>
                <c:pt idx="6">
                  <c:v>91.445817000000005</c:v>
                </c:pt>
                <c:pt idx="7">
                  <c:v>22.709949000000002</c:v>
                </c:pt>
              </c:numCache>
            </c:numRef>
          </c:val>
          <c:extLst>
            <c:ext xmlns:c16="http://schemas.microsoft.com/office/drawing/2014/chart" uri="{C3380CC4-5D6E-409C-BE32-E72D297353CC}">
              <c16:uniqueId val="{00000009-53FE-40B5-AADF-D3C0B93E729A}"/>
            </c:ext>
          </c:extLst>
        </c:ser>
        <c:dLbls>
          <c:showLegendKey val="0"/>
          <c:showVal val="0"/>
          <c:showCatName val="0"/>
          <c:showSerName val="0"/>
          <c:showPercent val="0"/>
          <c:showBubbleSize val="0"/>
        </c:dLbls>
        <c:gapWidth val="150"/>
        <c:overlap val="100"/>
        <c:axId val="495326207"/>
        <c:axId val="495320799"/>
      </c:barChart>
      <c:catAx>
        <c:axId val="495326207"/>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5320799"/>
        <c:crosses val="autoZero"/>
        <c:auto val="1"/>
        <c:lblAlgn val="ctr"/>
        <c:lblOffset val="100"/>
        <c:noMultiLvlLbl val="0"/>
      </c:catAx>
      <c:valAx>
        <c:axId val="49532079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5326207"/>
        <c:crosses val="autoZero"/>
        <c:crossBetween val="between"/>
      </c:valAx>
      <c:spPr>
        <a:noFill/>
        <a:ln>
          <a:noFill/>
        </a:ln>
        <a:effectLst/>
      </c:spPr>
    </c:plotArea>
    <c:legend>
      <c:legendPos val="r"/>
      <c:layout>
        <c:manualLayout>
          <c:xMode val="edge"/>
          <c:yMode val="edge"/>
          <c:x val="0.90945022992015712"/>
          <c:y val="7.7050532988746534E-2"/>
          <c:w val="8.233621860378032E-2"/>
          <c:h val="0.61139303013633883"/>
        </c:manualLayout>
      </c:layout>
      <c:overlay val="0"/>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C2C9A1-5664-427A-9542-66D90613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12701</Words>
  <Characters>74941</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Průběžná zpráva o realizaci programu The Country for the Future</vt:lpstr>
    </vt:vector>
  </TitlesOfParts>
  <Manager/>
  <Company/>
  <LinksUpToDate>false</LinksUpToDate>
  <CharactersWithSpaces>87468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Průběžná zpráva o realizaci programu The Country for the Future</dc:title>
  <dc:subject>  </dc:subject>
  <dc:creator/>
  <cp:keywords/>
  <dc:description/>
  <cp:lastModifiedBy/>
  <cp:revision>1</cp:revision>
  <dcterms:created xsi:type="dcterms:W3CDTF">2024-12-13T14:16:00Z</dcterms:created>
  <dcterms:modified xsi:type="dcterms:W3CDTF">2024-12-19T08:31:00Z</dcterms:modified>
</cp:coreProperties>
</file>